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8.png" ContentType="image/png"/>
  <Override PartName="/word/media/rId52.png" ContentType="image/png"/>
  <Override PartName="/word/media/rId40.png" ContentType="image/png"/>
  <Override PartName="/word/media/rId42.png" ContentType="image/png"/>
  <Override PartName="/word/media/rId45.png" ContentType="image/png"/>
  <Override PartName="/word/media/rId47.png" ContentType="image/png"/>
  <Override PartName="/word/media/rId50.png" ContentType="image/png"/>
  <Override PartName="/word/media/rId27.png" ContentType="image/png"/>
  <Override PartName="/word/media/rId29.png" ContentType="image/png"/>
  <Override PartName="/word/media/rId35.png" ContentType="image/png"/>
  <Override PartName="/word/media/rId33.png" ContentType="image/png"/>
  <Override PartName="/word/media/rId31.png" ContentType="image/png"/>
  <Override PartName="/word/media/rId24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accessibility-guide-for-the-toll-house"/>
      <w:r>
        <w:t xml:space="preserve">Accessibility Guide for The Toll House</w:t>
      </w:r>
      <w:bookmarkEnd w:id="20"/>
    </w:p>
    <w:p>
      <w:pPr>
        <w:pStyle w:val="FirstParagraph"/>
      </w:pPr>
      <w:hyperlink r:id="rId21">
        <w:r>
          <w:rPr>
            <w:rStyle w:val="InternetLink"/>
          </w:rPr>
          <w:t xml:space="preserve">mail@tollhousealdeburgh.com</w:t>
        </w:r>
      </w:hyperlink>
      <w:r>
        <w:t xml:space="preserve">,</w:t>
      </w:r>
      <w:r>
        <w:t xml:space="preserve"> </w:t>
      </w:r>
      <w:hyperlink r:id="rId22">
        <w:r>
          <w:rPr>
            <w:rStyle w:val="InternetLink"/>
          </w:rPr>
          <w:t xml:space="preserve">07540 943001,</w:t>
        </w:r>
      </w:hyperlink>
      <w:r>
        <w:t xml:space="preserve"> </w:t>
      </w:r>
      <w:hyperlink r:id="rId23">
        <w:r>
          <w:rPr>
            <w:rStyle w:val="InternetLink"/>
          </w:rPr>
          <w:t xml:space="preserve">www.tollhousealdeburgh.com</w:t>
        </w:r>
      </w:hyperlink>
    </w:p>
    <w:p>
      <w:pPr>
        <w:pStyle w:val="TextBody"/>
      </w:pPr>
      <w:r>
        <w:rPr>
          <w:b/>
        </w:rPr>
        <w:t xml:space="preserve">Contact for accessibility enquiries: Mrs Olga Owen</w:t>
      </w:r>
    </w:p>
    <w:p>
      <w:pPr>
        <w:pStyle w:val="Compact"/>
      </w:pPr>
      <w:r>
        <w:drawing>
          <wp:inline>
            <wp:extent cx="5715000" cy="42862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DD8B721A-0E66-4C5C-A73C-22CBEE9C03EA.jpeg?itok=ZJFJMmHP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welcome"/>
      <w:r>
        <w:t xml:space="preserve">Welcome</w:t>
      </w:r>
      <w:bookmarkEnd w:id="25"/>
    </w:p>
    <w:p>
      <w:pPr>
        <w:pStyle w:val="FirstParagraph"/>
      </w:pPr>
      <w:r>
        <w:t xml:space="preserve">Toll House is a cozy B&amp;B located only minutes away from the famous Aldeburgh sea front. It is arranged over two floors, with seven en-suite guest rooms. All en-suites have showers for easy access. There are three ground floor rooms, two of which are twin-bedded, and all of them are on single level.</w:t>
      </w:r>
    </w:p>
    <w:p>
      <w:pPr>
        <w:pStyle w:val="TextBody"/>
      </w:pPr>
      <w:r>
        <w:t xml:space="preserve"> </w:t>
      </w:r>
    </w:p>
    <w:p>
      <w:pPr>
        <w:pStyle w:val="TextBody"/>
      </w:pPr>
      <w:r>
        <w:t xml:space="preserve"> </w:t>
      </w:r>
    </w:p>
    <w:p>
      <w:pPr>
        <w:pStyle w:val="Heading2"/>
      </w:pPr>
      <w:bookmarkStart w:id="26" w:name="at-a-glance"/>
      <w:r>
        <w:t xml:space="preserve">At a Glance</w:t>
      </w:r>
      <w:bookmarkEnd w:id="26"/>
    </w:p>
    <w:p>
      <w:pPr>
        <w:pStyle w:val="Heading3"/>
      </w:pPr>
      <w:bookmarkStart w:id="28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28"/>
    </w:p>
    <w:p>
      <w:pPr>
        <w:numPr>
          <w:numId w:val="1001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breakfast room-conservatory</w:t>
      </w:r>
    </w:p>
    <w:p>
      <w:pPr>
        <w:pStyle w:val="Heading3"/>
      </w:pPr>
      <w:bookmarkStart w:id="30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0"/>
    </w:p>
    <w:p>
      <w:pPr>
        <w:pStyle w:val="Compact"/>
        <w:numPr>
          <w:numId w:val="1003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2" w:name="level-access-bedrooms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-bedrooms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 bedrooms</w:t>
      </w:r>
      <w:bookmarkEnd w:id="32"/>
    </w:p>
    <w:p>
      <w:pPr>
        <w:pStyle w:val="Compact"/>
        <w:numPr>
          <w:numId w:val="1004"/>
          <w:ilvl w:val="0"/>
        </w:numPr>
      </w:pPr>
      <w:r>
        <w:t xml:space="preserve">From the main entrance to the bedroom, there is level access.</w:t>
      </w:r>
    </w:p>
    <w:p>
      <w:pPr>
        <w:pStyle w:val="Compact"/>
        <w:numPr>
          <w:numId w:val="1004"/>
          <w:ilvl w:val="0"/>
        </w:numPr>
      </w:pPr>
      <w:r>
        <w:t xml:space="preserve">The route to the bedroom is 750mm wide, or more.</w:t>
      </w:r>
    </w:p>
    <w:p>
      <w:pPr>
        <w:pStyle w:val="Heading3"/>
      </w:pPr>
      <w:bookmarkStart w:id="34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4"/>
    </w:p>
    <w:p>
      <w:pPr>
        <w:pStyle w:val="Compact"/>
        <w:numPr>
          <w:numId w:val="1005"/>
          <w:ilvl w:val="0"/>
        </w:numPr>
      </w:pPr>
      <w:r>
        <w:t xml:space="preserve">The (bedroom) TVs have subtitles.</w:t>
      </w:r>
    </w:p>
    <w:p>
      <w:pPr>
        <w:pStyle w:val="Heading3"/>
      </w:pPr>
      <w:bookmarkStart w:id="36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6"/>
    </w:p>
    <w:p>
      <w:pPr>
        <w:pStyle w:val="Compact"/>
        <w:numPr>
          <w:numId w:val="1006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06"/>
          <w:ilvl w:val="0"/>
        </w:numPr>
      </w:pPr>
      <w:r>
        <w:t xml:space="preserve">We have emergency evacuation procedures for disabled visitors.</w:t>
      </w:r>
    </w:p>
    <w:p>
      <w:pPr>
        <w:pStyle w:val="Heading2"/>
      </w:pPr>
      <w:bookmarkStart w:id="37" w:name="getting-here"/>
      <w:r>
        <w:t xml:space="preserve">Getting here</w:t>
      </w:r>
      <w:bookmarkEnd w:id="37"/>
    </w:p>
    <w:p>
      <w:pPr>
        <w:pStyle w:val="Compact"/>
      </w:pPr>
      <w:r>
        <w:t xml:space="preserve">50 Victoria Road</w:t>
      </w:r>
      <w:r>
        <w:br/>
      </w:r>
      <w:r>
        <w:t xml:space="preserve">Aldeburgh</w:t>
      </w:r>
      <w:r>
        <w:br/>
      </w:r>
      <w:r>
        <w:t xml:space="preserve">Suffolk</w:t>
      </w:r>
      <w:r>
        <w:br/>
      </w:r>
      <w:r>
        <w:t xml:space="preserve">IP15 5EJ</w:t>
      </w:r>
      <w:r>
        <w:br/>
      </w:r>
    </w:p>
    <w:p>
      <w:pPr>
        <w:pStyle w:val="Heading4"/>
      </w:pPr>
      <w:bookmarkStart w:id="39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9"/>
    </w:p>
    <w:p>
      <w:pPr>
        <w:pStyle w:val="Compact"/>
        <w:numPr>
          <w:numId w:val="1008"/>
          <w:ilvl w:val="0"/>
        </w:numPr>
      </w:pPr>
      <w:r>
        <w:t xml:space="preserve">You can get to The Toll House by bus and train.</w:t>
      </w:r>
    </w:p>
    <w:p>
      <w:pPr>
        <w:pStyle w:val="Compact"/>
        <w:numPr>
          <w:numId w:val="1008"/>
          <w:ilvl w:val="0"/>
        </w:numPr>
      </w:pPr>
      <w:r>
        <w:t xml:space="preserve">Nearest bus stop is on the Victoria Road between doctor's surgery and the library.</w:t>
      </w:r>
      <w:r>
        <w:t xml:space="preserve"> </w:t>
      </w:r>
      <w:r>
        <w:t xml:space="preserve">If travelling by train, take bus 64 or 65 from Saxmundham station to Aldeburgh.</w:t>
      </w:r>
      <w:r>
        <w:t xml:space="preserve"> </w:t>
      </w:r>
      <w:r>
        <w:t xml:space="preserve">Timetables can be found online on www.travelineeastanglia.org.uk The bus stop is 0.2 miles / 0.3 km from The Toll House .</w:t>
      </w:r>
    </w:p>
    <w:p>
      <w:pPr>
        <w:pStyle w:val="Compact"/>
        <w:numPr>
          <w:numId w:val="1008"/>
          <w:ilvl w:val="0"/>
        </w:numPr>
      </w:pPr>
      <w:r>
        <w:t xml:space="preserve">The nearest train station is Saxmundham. The train station is 8 miles / 12.9 km from The Toll House .</w:t>
      </w:r>
    </w:p>
    <w:p>
      <w:pPr>
        <w:pStyle w:val="Heading4"/>
      </w:pPr>
      <w:bookmarkStart w:id="41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1"/>
    </w:p>
    <w:p>
      <w:pPr>
        <w:pStyle w:val="Compact"/>
        <w:numPr>
          <w:numId w:val="1009"/>
          <w:ilvl w:val="0"/>
        </w:numPr>
      </w:pPr>
      <w:r>
        <w:t xml:space="preserve">You can get a taxi with New Penny Cars by calling 01728 452142.</w:t>
      </w:r>
    </w:p>
    <w:p>
      <w:pPr>
        <w:pStyle w:val="Compact"/>
        <w:numPr>
          <w:numId w:val="1009"/>
          <w:ilvl w:val="0"/>
        </w:numPr>
      </w:pPr>
      <w:r>
        <w:t xml:space="preserve">You can get a taxi with OsCars by calling 01728 830614.</w:t>
      </w:r>
    </w:p>
    <w:p>
      <w:pPr>
        <w:pStyle w:val="Compact"/>
        <w:numPr>
          <w:numId w:val="1009"/>
          <w:ilvl w:val="0"/>
        </w:numPr>
      </w:pPr>
      <w:r>
        <w:t xml:space="preserve">You can get a taxi with A2B Cars by calling 01728 633003.</w:t>
      </w:r>
    </w:p>
    <w:p>
      <w:pPr>
        <w:pStyle w:val="Heading4"/>
      </w:pPr>
      <w:bookmarkStart w:id="43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3"/>
    </w:p>
    <w:p>
      <w:pPr>
        <w:pStyle w:val="Compact"/>
        <w:numPr>
          <w:numId w:val="1010"/>
          <w:ilvl w:val="0"/>
        </w:numPr>
      </w:pPr>
      <w:r>
        <w:t xml:space="preserve">We have a car park. The parking is less than 50 metres from the main entrance. Parking is free.</w:t>
      </w:r>
    </w:p>
    <w:p>
      <w:pPr>
        <w:pStyle w:val="Compact"/>
        <w:numPr>
          <w:numId w:val="1010"/>
          <w:ilvl w:val="0"/>
        </w:numPr>
      </w:pPr>
      <w:r>
        <w:t xml:space="preserve">Our car park can be used for drop-off From the car park to the entrance, there is level access. The path is sloped.</w:t>
      </w:r>
    </w:p>
    <w:p>
      <w:pPr>
        <w:pStyle w:val="Compact"/>
        <w:numPr>
          <w:numId w:val="1010"/>
          <w:ilvl w:val="0"/>
        </w:numPr>
      </w:pPr>
      <w:r>
        <w:t xml:space="preserve">The route is 2000mm wide, or more.</w:t>
      </w:r>
    </w:p>
    <w:p>
      <w:pPr>
        <w:pStyle w:val="Compact"/>
        <w:numPr>
          <w:numId w:val="1010"/>
          <w:ilvl w:val="0"/>
        </w:numPr>
      </w:pPr>
      <w:r>
        <w:t xml:space="preserve">Car park is located along side of the house, accessed by public pavement and road</w:t>
      </w:r>
    </w:p>
    <w:p>
      <w:pPr>
        <w:pStyle w:val="Heading2"/>
      </w:pPr>
      <w:bookmarkStart w:id="44" w:name="arrival"/>
      <w:r>
        <w:t xml:space="preserve">Arrival</w:t>
      </w:r>
      <w:bookmarkEnd w:id="44"/>
    </w:p>
    <w:p>
      <w:pPr>
        <w:pStyle w:val="Heading4"/>
      </w:pPr>
      <w:bookmarkStart w:id="46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6"/>
    </w:p>
    <w:p>
      <w:pPr>
        <w:pStyle w:val="Compact"/>
        <w:numPr>
          <w:numId w:val="1011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1"/>
          <w:ilvl w:val="0"/>
        </w:numPr>
      </w:pPr>
      <w:r>
        <w:t xml:space="preserve">The path is 2000mm wide, or more.</w:t>
      </w:r>
    </w:p>
    <w:p>
      <w:pPr>
        <w:pStyle w:val="Heading4"/>
      </w:pPr>
      <w:bookmarkStart w:id="48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8"/>
    </w:p>
    <w:p>
      <w:pPr>
        <w:pStyle w:val="Compact"/>
        <w:numPr>
          <w:numId w:val="1012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2"/>
          <w:ilvl w:val="0"/>
        </w:numPr>
      </w:pPr>
      <w:r>
        <w:t xml:space="preserve">The door is 850mm wide.</w:t>
      </w:r>
    </w:p>
    <w:p>
      <w:pPr>
        <w:pStyle w:val="Compact"/>
        <w:numPr>
          <w:numId w:val="1012"/>
          <w:ilvl w:val="0"/>
        </w:numPr>
      </w:pPr>
      <w:r>
        <w:t xml:space="preserve">The main door is side hung and manual.</w:t>
      </w:r>
    </w:p>
    <w:p>
      <w:pPr>
        <w:pStyle w:val="Heading2"/>
      </w:pPr>
      <w:bookmarkStart w:id="49" w:name="getting-around-inside"/>
      <w:r>
        <w:t xml:space="preserve">Getting around inside</w:t>
      </w:r>
      <w:bookmarkEnd w:id="49"/>
    </w:p>
    <w:p>
      <w:pPr>
        <w:pStyle w:val="Heading4"/>
      </w:pPr>
      <w:bookmarkStart w:id="51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1"/>
    </w:p>
    <w:p>
      <w:pPr>
        <w:pStyle w:val="Compact"/>
        <w:numPr>
          <w:numId w:val="1013"/>
          <w:ilvl w:val="0"/>
        </w:numPr>
      </w:pPr>
      <w:r>
        <w:t xml:space="preserve">All bedrooms have windows.</w:t>
      </w:r>
    </w:p>
    <w:p>
      <w:pPr>
        <w:pStyle w:val="Compact"/>
        <w:numPr>
          <w:numId w:val="1013"/>
          <w:ilvl w:val="0"/>
        </w:numPr>
      </w:pPr>
      <w:r>
        <w:t xml:space="preserve">Bedrooms have ceiling lights, bedside lamps and natural daylight.</w:t>
      </w:r>
    </w:p>
    <w:p>
      <w:pPr>
        <w:pStyle w:val="Compact"/>
        <w:numPr>
          <w:numId w:val="1013"/>
          <w:ilvl w:val="0"/>
        </w:numPr>
      </w:pPr>
      <w:r>
        <w:t xml:space="preserve">Lights are LED and traditional filament. TVs have subtitles.</w:t>
      </w:r>
    </w:p>
    <w:p>
      <w:pPr>
        <w:pStyle w:val="Compact"/>
        <w:numPr>
          <w:numId w:val="1013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3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3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3"/>
          <w:ilvl w:val="0"/>
        </w:numPr>
      </w:pPr>
      <w:r>
        <w:t xml:space="preserve">We can move the bedroom furniture, to improve accessibility.</w:t>
      </w:r>
    </w:p>
    <w:p>
      <w:pPr>
        <w:pStyle w:val="Compact"/>
        <w:numPr>
          <w:numId w:val="1013"/>
          <w:ilvl w:val="0"/>
        </w:numPr>
      </w:pPr>
      <w:r>
        <w:t xml:space="preserve">From the main entrance to this area, there is level access.</w:t>
      </w:r>
    </w:p>
    <w:p>
      <w:pPr>
        <w:pStyle w:val="Heading4"/>
      </w:pPr>
      <w:bookmarkStart w:id="53" w:name="place-to-eat-and-drink"/>
      <w:r>
        <w:drawing>
          <wp:inline>
            <wp:extent cx="889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Place to eat and drink</w:t>
      </w:r>
      <w:bookmarkEnd w:id="53"/>
    </w:p>
    <w:p>
      <w:pPr>
        <w:pStyle w:val="Heading4"/>
      </w:pPr>
      <w:bookmarkStart w:id="54" w:name="breakfast-room-conservatory"/>
      <w:r>
        <w:t xml:space="preserve">breakfast room-conservatory</w:t>
      </w:r>
      <w:bookmarkEnd w:id="54"/>
    </w:p>
    <w:p>
      <w:pPr>
        <w:pStyle w:val="Compact"/>
        <w:numPr>
          <w:numId w:val="1014"/>
          <w:ilvl w:val="0"/>
        </w:numPr>
      </w:pPr>
      <w:r>
        <w:t xml:space="preserve">From the main entrance to the dining area, there is 1 step. There is no lift and no ramp.</w:t>
      </w:r>
    </w:p>
    <w:p>
      <w:pPr>
        <w:pStyle w:val="Compact"/>
        <w:numPr>
          <w:numId w:val="1014"/>
          <w:ilvl w:val="0"/>
        </w:numPr>
      </w:pPr>
      <w:r>
        <w:t xml:space="preserve">If you need table service, staff can help you.</w:t>
      </w:r>
    </w:p>
    <w:p>
      <w:pPr>
        <w:pStyle w:val="Compact"/>
        <w:numPr>
          <w:numId w:val="1014"/>
          <w:ilvl w:val="0"/>
        </w:numPr>
      </w:pPr>
      <w:r>
        <w:t xml:space="preserve">The route through the dining area is 800mm wide, or more.</w:t>
      </w:r>
    </w:p>
    <w:p>
      <w:pPr>
        <w:pStyle w:val="Compact"/>
        <w:numPr>
          <w:numId w:val="1014"/>
          <w:ilvl w:val="0"/>
        </w:numPr>
      </w:pPr>
      <w:r>
        <w:t xml:space="preserve">There is background music sometimes.</w:t>
      </w:r>
    </w:p>
    <w:p>
      <w:pPr>
        <w:pStyle w:val="Compact"/>
        <w:numPr>
          <w:numId w:val="1014"/>
          <w:ilvl w:val="0"/>
        </w:numPr>
      </w:pPr>
      <w:r>
        <w:t xml:space="preserve">The table and plates have high colour contrast.</w:t>
      </w:r>
    </w:p>
    <w:p>
      <w:pPr>
        <w:pStyle w:val="Compact"/>
        <w:numPr>
          <w:numId w:val="1014"/>
          <w:ilvl w:val="0"/>
        </w:numPr>
      </w:pPr>
      <w:r>
        <w:t xml:space="preserve">We cater for sugar free (diabetic), vegetarian, gluten free (celiacs), lactose free (dairy free), nut free, low fat, high fibre and vegan specific diets.</w:t>
      </w:r>
    </w:p>
    <w:p>
      <w:pPr>
        <w:pStyle w:val="Compact"/>
        <w:numPr>
          <w:numId w:val="1014"/>
          <w:ilvl w:val="0"/>
        </w:numPr>
      </w:pPr>
      <w:r>
        <w:t xml:space="preserve">We are happy to cater for most dietary restrictions, given notice</w:t>
      </w:r>
    </w:p>
    <w:p>
      <w:pPr>
        <w:pStyle w:val="Heading2"/>
      </w:pPr>
      <w:bookmarkStart w:id="55" w:name="customer-care-support"/>
      <w:r>
        <w:t xml:space="preserve">Customer care support</w:t>
      </w:r>
      <w:bookmarkEnd w:id="55"/>
    </w:p>
    <w:p>
      <w:pPr>
        <w:pStyle w:val="Heading4"/>
      </w:pPr>
      <w:bookmarkStart w:id="56" w:name="accessibility-equipment"/>
      <w:r>
        <w:t xml:space="preserve">Accessibility equipment</w:t>
      </w:r>
      <w:bookmarkEnd w:id="56"/>
    </w:p>
    <w:p>
      <w:pPr>
        <w:pStyle w:val="Compact"/>
        <w:numPr>
          <w:numId w:val="1015"/>
          <w:ilvl w:val="0"/>
        </w:numPr>
      </w:pPr>
      <w:r>
        <w:t xml:space="preserve">We have an area to charge mobility scooters and battery powered wheelchairs.</w:t>
      </w:r>
    </w:p>
    <w:p>
      <w:pPr>
        <w:pStyle w:val="Compact"/>
        <w:numPr>
          <w:numId w:val="1015"/>
          <w:ilvl w:val="0"/>
        </w:numPr>
      </w:pPr>
      <w:r>
        <w:t xml:space="preserve">We are happy to charge our guests mobility aids in our hallway</w:t>
      </w:r>
    </w:p>
    <w:p>
      <w:pPr>
        <w:pStyle w:val="Compact"/>
        <w:numPr>
          <w:numId w:val="1015"/>
          <w:ilvl w:val="0"/>
        </w:numPr>
      </w:pPr>
      <w:r>
        <w:t xml:space="preserve">You can hire mobility equipment from British Red Cross, Ipswich by calling 01473 219 261.</w:t>
      </w:r>
    </w:p>
    <w:p>
      <w:pPr>
        <w:pStyle w:val="Heading4"/>
      </w:pPr>
      <w:bookmarkStart w:id="57" w:name="emergency-evacuation-procedures"/>
      <w:r>
        <w:t xml:space="preserve">Emergency evacuation procedures</w:t>
      </w:r>
      <w:bookmarkEnd w:id="57"/>
    </w:p>
    <w:p>
      <w:pPr>
        <w:pStyle w:val="Compact"/>
        <w:numPr>
          <w:numId w:val="1016"/>
          <w:ilvl w:val="0"/>
        </w:numPr>
      </w:pPr>
      <w:r>
        <w:t xml:space="preserve">When we have visitors with reduced mobility, hearing dificulties or visual impairment we will offer them our downstairs bedrooms as they are closest to the emergency exit.</w:t>
      </w:r>
      <w:r>
        <w:br/>
      </w:r>
      <w:r>
        <w:t xml:space="preserve">We will also stay on the premises ( when required ), to ensure their safety.</w:t>
      </w:r>
    </w:p>
    <w:p>
      <w:pPr>
        <w:pStyle w:val="Heading4"/>
      </w:pPr>
      <w:bookmarkStart w:id="58" w:name="customer-care-support-1"/>
      <w:r>
        <w:t xml:space="preserve">Customer care support</w:t>
      </w:r>
      <w:bookmarkEnd w:id="58"/>
    </w:p>
    <w:p>
      <w:pPr>
        <w:pStyle w:val="Compact"/>
        <w:numPr>
          <w:numId w:val="1017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17"/>
          <w:ilvl w:val="0"/>
        </w:numPr>
      </w:pPr>
      <w:r>
        <w:t xml:space="preserve">Despite not living on premises, we are easily contacted and are available 24 hours. When required we will spend the night on the premises.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18 January 2019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8" Target="media/rId38.png" /><Relationship Type="http://schemas.openxmlformats.org/officeDocument/2006/relationships/image" Id="rId52" Target="media/rId52.png" /><Relationship Type="http://schemas.openxmlformats.org/officeDocument/2006/relationships/image" Id="rId40" Target="media/rId40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5" Target="media/rId35.png" /><Relationship Type="http://schemas.openxmlformats.org/officeDocument/2006/relationships/image" Id="rId33" Target="media/rId33.png" /><Relationship Type="http://schemas.openxmlformats.org/officeDocument/2006/relationships/image" Id="rId31" Target="media/rId31.png" /><Relationship Type="http://schemas.openxmlformats.org/officeDocument/2006/relationships/image" Id="rId24" Target="media/rId24.jpg" /><Relationship Type="http://schemas.openxmlformats.org/officeDocument/2006/relationships/hyperlink" Id="rId21" Target="mailto:mail@tollhousealdeburgh.com" TargetMode="External" /><Relationship Type="http://schemas.openxmlformats.org/officeDocument/2006/relationships/hyperlink" Id="rId22" Target="tel:07540%20943001" TargetMode="External" /><Relationship Type="http://schemas.openxmlformats.org/officeDocument/2006/relationships/hyperlink" Id="rId23" Target="www.tollhousealdeburgh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mailto:mail@tollhousealdeburgh.com" TargetMode="External" /><Relationship Type="http://schemas.openxmlformats.org/officeDocument/2006/relationships/hyperlink" Id="rId22" Target="tel:07540%20943001" TargetMode="External" /><Relationship Type="http://schemas.openxmlformats.org/officeDocument/2006/relationships/hyperlink" Id="rId23" Target="www.tollhousealdeburgh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2024-03-29T01:05:22Z</dcterms:created>
  <dcterms:modified xsi:type="dcterms:W3CDTF">2024-03-29T01:05:22Z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