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53.png" ContentType="image/png"/>
  <Override PartName="/word/media/rId71.png" ContentType="image/png"/>
  <Override PartName="/word/media/rId37.png" ContentType="image/png"/>
  <Override PartName="/word/media/rId43.png" ContentType="image/png"/>
  <Override PartName="/word/media/rId66.png" ContentType="image/png"/>
  <Override PartName="/word/media/rId45.png" ContentType="image/png"/>
  <Override PartName="/word/media/rId34.png" ContentType="image/png"/>
  <Override PartName="/word/media/rId30.png" ContentType="image/png"/>
  <Override PartName="/word/media/rId28.png" ContentType="image/png"/>
  <Override PartName="/word/media/rId32.png" ContentType="image/png"/>
  <Override PartName="/word/media/rId20.png" ContentType="image/png"/>
  <Override PartName="/word/media/rId75.jpg" ContentType="image/jpeg"/>
  <Override PartName="/word/media/rId59.jpg" ContentType="image/jpeg"/>
  <Override PartName="/word/media/rId39.jpg" ContentType="image/jpeg"/>
  <Override PartName="/word/media/rId40.jpg" ContentType="image/jpeg"/>
  <Override PartName="/word/media/rId41.jpg" ContentType="image/jpeg"/>
  <Override PartName="/word/media/rId64.jpg" ContentType="image/jpeg"/>
  <Override PartName="/word/media/rId61.jpg" ContentType="image/jpeg"/>
  <Override PartName="/word/media/rId69.jpg" ContentType="image/jpeg"/>
  <Override PartName="/word/media/rId79.jpg" ContentType="image/jpeg"/>
  <Override PartName="/word/media/rId78.jpg" ContentType="image/jpeg"/>
  <Override PartName="/word/media/rId74.jpg" ContentType="image/jpeg"/>
  <Override PartName="/word/media/rId47.jpg" ContentType="image/jpeg"/>
  <Override PartName="/word/media/rId63.jpg" ContentType="image/jpeg"/>
  <Override PartName="/word/media/rId60.jpg" ContentType="image/jpeg"/>
  <Override PartName="/word/media/rId49.jpg" ContentType="image/jpeg"/>
  <Override PartName="/word/media/rId56.jpg" ContentType="image/jpeg"/>
  <Override PartName="/word/media/rId65.jpg" ContentType="image/jpeg"/>
  <Override PartName="/word/media/rId48.jpg" ContentType="image/jpeg"/>
  <Override PartName="/word/media/rId62.jpg" ContentType="image/jpeg"/>
  <Override PartName="/word/media/rId52.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2476500" cy="1685925"/>
            <wp:effectExtent b="0" l="0" r="0" t="0"/>
            <wp:docPr descr="company logo" title="" id="1" name="Picture"/>
            <a:graphic>
              <a:graphicData uri="http://schemas.openxmlformats.org/drawingml/2006/picture">
                <pic:pic>
                  <pic:nvPicPr>
                    <pic:cNvPr descr="https://www.accessibilityguides.org/sites/default/files/styles/fullscreen/public/33.png?itok=IEGhG_kd" id="0" name="Picture"/>
                    <pic:cNvPicPr>
                      <a:picLocks noChangeArrowheads="1" noChangeAspect="1"/>
                    </pic:cNvPicPr>
                  </pic:nvPicPr>
                  <pic:blipFill>
                    <a:blip r:embed="rId20"/>
                    <a:stretch>
                      <a:fillRect/>
                    </a:stretch>
                  </pic:blipFill>
                  <pic:spPr bwMode="auto">
                    <a:xfrm>
                      <a:off x="0" y="0"/>
                      <a:ext cx="2476500" cy="1685925"/>
                    </a:xfrm>
                    <a:prstGeom prst="rect">
                      <a:avLst/>
                    </a:prstGeom>
                    <a:noFill/>
                    <a:ln w="9525">
                      <a:noFill/>
                      <a:headEnd/>
                      <a:tailEnd/>
                    </a:ln>
                  </pic:spPr>
                </pic:pic>
              </a:graphicData>
            </a:graphic>
          </wp:inline>
        </w:drawing>
      </w:r>
    </w:p>
    <w:p>
      <w:pPr>
        <w:pStyle w:val="Heading1"/>
      </w:pPr>
      <w:bookmarkStart w:id="21" w:name="Xdd6491e872fcf642ac606b4cd2899104a34ddd9"/>
      <w:r>
        <w:t xml:space="preserve">Accessibility Guide for Dalby Forest Cycle Hub</w:t>
      </w:r>
      <w:bookmarkEnd w:id="21"/>
    </w:p>
    <w:p>
      <w:pPr>
        <w:pStyle w:val="FirstParagraph"/>
      </w:pPr>
      <w:hyperlink r:id="rId22">
        <w:r>
          <w:rPr>
            <w:rStyle w:val="InternetLink"/>
          </w:rPr>
          <w:t xml:space="preserve">info@dalbyforestcyclehub.co.uk</w:t>
        </w:r>
      </w:hyperlink>
      <w:r>
        <w:t xml:space="preserve">,</w:t>
      </w:r>
      <w:r>
        <w:t xml:space="preserve"> </w:t>
      </w:r>
      <w:hyperlink r:id="rId23">
        <w:r>
          <w:rPr>
            <w:rStyle w:val="InternetLink"/>
          </w:rPr>
          <w:t xml:space="preserve">01751 460585,</w:t>
        </w:r>
      </w:hyperlink>
      <w:r>
        <w:t xml:space="preserve"> </w:t>
      </w:r>
      <w:hyperlink r:id="rId24">
        <w:r>
          <w:rPr>
            <w:rStyle w:val="InternetLink"/>
          </w:rPr>
          <w:t xml:space="preserve">https://www.dalbyforestcyclehub.co.uk/</w:t>
        </w:r>
      </w:hyperlink>
    </w:p>
    <w:p>
      <w:pPr>
        <w:pStyle w:val="TextBody"/>
      </w:pPr>
      <w:r>
        <w:rPr>
          <w:b/>
        </w:rPr>
        <w:t xml:space="preserve">Contact for accessibility enquiries: Peter Blood</w:t>
      </w:r>
    </w:p>
    <w:p>
      <w:pPr>
        <w:pStyle w:val="Compact"/>
      </w:pPr>
      <w:r>
        <w:drawing>
          <wp:inline>
            <wp:extent cx="5715000" cy="3800475"/>
            <wp:effectExtent b="0" l="0" r="0" t="0"/>
            <wp:docPr descr="" title="" id="1" name="Picture"/>
            <a:graphic>
              <a:graphicData uri="http://schemas.openxmlformats.org/drawingml/2006/picture">
                <pic:pic>
                  <pic:nvPicPr>
                    <pic:cNvPr descr="https://www.accessibilityguides.org/sites/default/files/styles/print_full_width/public/Dalby%20Forest%20Cycle%20Hub%202.jpg?itok=UZIz8dsK" id="0" name="Picture"/>
                    <pic:cNvPicPr>
                      <a:picLocks noChangeArrowheads="1" noChangeAspect="1"/>
                    </pic:cNvPicPr>
                  </pic:nvPicPr>
                  <pic:blipFill>
                    <a:blip r:embed="rId25"/>
                    <a:stretch>
                      <a:fillRect/>
                    </a:stretch>
                  </pic:blipFill>
                  <pic:spPr bwMode="auto">
                    <a:xfrm>
                      <a:off x="0" y="0"/>
                      <a:ext cx="5715000" cy="3800475"/>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From riding fast on the red route to taking it easy with the family or making the most of our adapted cycles, Dalby Forest Cycle Hub helps you do it all.</w:t>
      </w:r>
    </w:p>
    <w:p>
      <w:pPr>
        <w:pStyle w:val="TextBody"/>
      </w:pPr>
      <w:r>
        <w:t xml:space="preserve">Set firmly in the epicentre of Yorkshire’s top mountain biking destination, with trails for all ages and abilities, heading right from our front door, we’re here to ensure you get the best cycling experience to meet your needs. </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1 step. There is no lift and no ramp.</w:t>
      </w:r>
    </w:p>
    <w:p>
      <w:pPr>
        <w:numPr>
          <w:numId w:val="1001"/>
          <w:ilvl w:val="0"/>
        </w:numPr>
      </w:pPr>
      <w:r>
        <w:t xml:space="preserve">There is level access from the main entrance to:</w:t>
      </w:r>
    </w:p>
    <w:p>
      <w:pPr>
        <w:pStyle w:val="Compact"/>
        <w:numPr>
          <w:numId w:val="1002"/>
          <w:ilvl w:val="1"/>
        </w:numPr>
      </w:pPr>
      <w:r>
        <w:t xml:space="preserve">Dalby Forest Cycle Hub and Shop</w:t>
      </w:r>
    </w:p>
    <w:p>
      <w:pPr>
        <w:pStyle w:val="Compact"/>
        <w:numPr>
          <w:numId w:val="1002"/>
          <w:ilvl w:val="1"/>
        </w:numPr>
      </w:pPr>
      <w:r>
        <w:t xml:space="preserve">Till and Information Point at the Cycle Hub and Shop</w:t>
      </w:r>
    </w:p>
    <w:p>
      <w:pPr>
        <w:pStyle w:val="Compact"/>
        <w:numPr>
          <w:numId w:val="1002"/>
          <w:ilvl w:val="1"/>
        </w:numPr>
      </w:pPr>
      <w:r>
        <w:t xml:space="preserve">Toilet facilities next to the Cycle Hub</w:t>
      </w:r>
    </w:p>
    <w:p>
      <w:pPr>
        <w:numPr>
          <w:numId w:val="1001"/>
          <w:ilvl w:val="0"/>
        </w:numPr>
      </w:pPr>
      <w:r>
        <w:t xml:space="preserve">There is level access from the car park to:</w:t>
      </w:r>
    </w:p>
    <w:p>
      <w:pPr>
        <w:pStyle w:val="Compact"/>
        <w:numPr>
          <w:numId w:val="1003"/>
          <w:ilvl w:val="1"/>
        </w:numPr>
      </w:pPr>
      <w:r>
        <w:t xml:space="preserve">Picnic benches near the Dalby Forest Cycle Hub (two areas).</w:t>
      </w:r>
    </w:p>
    <w:p>
      <w:pPr>
        <w:pStyle w:val="Heading3"/>
      </w:pPr>
      <w:bookmarkStart w:id="31"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1"/>
    </w:p>
    <w:p>
      <w:pPr>
        <w:pStyle w:val="Compact"/>
        <w:numPr>
          <w:numId w:val="1004"/>
          <w:ilvl w:val="0"/>
        </w:numPr>
      </w:pPr>
      <w:r>
        <w:t xml:space="preserve">Some staff have disability awareness training.</w:t>
      </w:r>
    </w:p>
    <w:p>
      <w:pPr>
        <w:pStyle w:val="Heading3"/>
      </w:pPr>
      <w:bookmarkStart w:id="33"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3"/>
    </w:p>
    <w:p>
      <w:pPr>
        <w:pStyle w:val="Compact"/>
        <w:numPr>
          <w:numId w:val="1005"/>
          <w:ilvl w:val="0"/>
        </w:numPr>
      </w:pPr>
      <w:r>
        <w:t xml:space="preserve">Glass doors have contrast markings.</w:t>
      </w:r>
    </w:p>
    <w:p>
      <w:pPr>
        <w:pStyle w:val="Compact"/>
        <w:numPr>
          <w:numId w:val="1005"/>
          <w:ilvl w:val="0"/>
        </w:numPr>
      </w:pPr>
      <w:r>
        <w:t xml:space="preserve">The walls and the doors have high colour contrast.</w:t>
      </w:r>
    </w:p>
    <w:p>
      <w:pPr>
        <w:pStyle w:val="Heading3"/>
      </w:pPr>
      <w:bookmarkStart w:id="35"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4"/>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5"/>
    </w:p>
    <w:p>
      <w:pPr>
        <w:pStyle w:val="Compact"/>
        <w:numPr>
          <w:numId w:val="1006"/>
          <w:ilvl w:val="0"/>
        </w:numPr>
      </w:pPr>
      <w:r>
        <w:t xml:space="preserve">We have a complimentary ticket policy for personal assistants.</w:t>
      </w:r>
    </w:p>
    <w:p>
      <w:pPr>
        <w:pStyle w:val="Compact"/>
        <w:numPr>
          <w:numId w:val="1006"/>
          <w:ilvl w:val="0"/>
        </w:numPr>
      </w:pPr>
      <w:r>
        <w:t xml:space="preserve">There is at least 1 public toilet for disabled visitors.</w:t>
      </w:r>
    </w:p>
    <w:p>
      <w:pPr>
        <w:pStyle w:val="Compact"/>
        <w:numPr>
          <w:numId w:val="1006"/>
          <w:ilvl w:val="0"/>
        </w:numPr>
      </w:pPr>
      <w:r>
        <w:t xml:space="preserve">Some staff have disability awareness training.</w:t>
      </w:r>
    </w:p>
    <w:p>
      <w:pPr>
        <w:pStyle w:val="Heading2"/>
      </w:pPr>
      <w:bookmarkStart w:id="36" w:name="getting-here"/>
      <w:r>
        <w:t xml:space="preserve">Getting here</w:t>
      </w:r>
      <w:bookmarkEnd w:id="36"/>
    </w:p>
    <w:p>
      <w:pPr>
        <w:pStyle w:val="Compact"/>
      </w:pPr>
      <w:r>
        <w:t xml:space="preserve">The Courtyard</w:t>
      </w:r>
      <w:r>
        <w:br/>
      </w:r>
      <w:r>
        <w:t xml:space="preserve">Dalby Forest Dr, Thornton Dale</w:t>
      </w:r>
      <w:r>
        <w:br/>
      </w:r>
      <w:r>
        <w:t xml:space="preserve">Pickering</w:t>
      </w:r>
      <w:r>
        <w:br/>
      </w:r>
      <w:r>
        <w:t xml:space="preserve">Y018 7LT</w:t>
      </w:r>
      <w:r>
        <w:br/>
      </w:r>
    </w:p>
    <w:p>
      <w:pPr>
        <w:pStyle w:val="Heading4"/>
      </w:pPr>
      <w:bookmarkStart w:id="38"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7"/>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38"/>
    </w:p>
    <w:p>
      <w:pPr>
        <w:pStyle w:val="Compact"/>
        <w:numPr>
          <w:numId w:val="1008"/>
          <w:ilvl w:val="0"/>
        </w:numPr>
      </w:pPr>
      <w:r>
        <w:t xml:space="preserve">We have a car park. There are accessible parking spaces. The parking is less than 50 metres from the main entrance. Parking is not free.</w:t>
      </w:r>
    </w:p>
    <w:p>
      <w:pPr>
        <w:pStyle w:val="Compact"/>
        <w:numPr>
          <w:numId w:val="1008"/>
          <w:ilvl w:val="0"/>
        </w:numPr>
      </w:pPr>
      <w:r>
        <w:t xml:space="preserve">The entrance to the cycle hub is on a pedestrianised area, so cars are unable to drop off at the front door.</w:t>
      </w:r>
      <w:r>
        <w:t xml:space="preserve"> </w:t>
      </w:r>
      <w:r>
        <w:t xml:space="preserve">The nearest drop-off point is located in the car park itself (dedicated short stay areas at the visitor centre end of the car park). From the car park to the entrance, there is level access. The route is 1300mm wide, or more.</w:t>
      </w:r>
    </w:p>
    <w:p>
      <w:pPr>
        <w:pStyle w:val="FirstParagraph"/>
      </w:pPr>
      <w:r>
        <w:drawing>
          <wp:inline>
            <wp:extent cx="3305175" cy="2476500"/>
            <wp:effectExtent b="0" l="0" r="0" t="0"/>
            <wp:docPr descr="Pathway crossing the road from the accessible parking spaces to the cycle hub." title="" id="1" name="Picture"/>
            <a:graphic>
              <a:graphicData uri="http://schemas.openxmlformats.org/drawingml/2006/picture">
                <pic:pic>
                  <pic:nvPicPr>
                    <pic:cNvPr descr="https://www.accessibilityguides.org/sites/default/files/styles/guide-images/public/2615C5D6-6A52-45DD-BB2D-018F28AD96D9.jpeg?itok=rRvI4LDy" id="0" name="Picture"/>
                    <pic:cNvPicPr>
                      <a:picLocks noChangeArrowheads="1" noChangeAspect="1"/>
                    </pic:cNvPicPr>
                  </pic:nvPicPr>
                  <pic:blipFill>
                    <a:blip r:embed="rId3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Pathway crossing the road from the accessible parking spaces to the cycle hub.</w:t>
      </w:r>
    </w:p>
    <w:p>
      <w:pPr>
        <w:pStyle w:val="TextBody"/>
      </w:pPr>
      <w:r>
        <w:drawing>
          <wp:inline>
            <wp:extent cx="3305175" cy="2476500"/>
            <wp:effectExtent b="0" l="0" r="0" t="0"/>
            <wp:docPr descr="Smoothway route from the car park to the road crossing, leading to the cycle hub." title="" id="1" name="Picture"/>
            <a:graphic>
              <a:graphicData uri="http://schemas.openxmlformats.org/drawingml/2006/picture">
                <pic:pic>
                  <pic:nvPicPr>
                    <pic:cNvPr descr="https://www.accessibilityguides.org/sites/default/files/styles/guide-images/public/31C4A25E-DDFF-4C60-BB4A-B6F5E7EFA09D.jpeg?itok=JxrJweU3" id="0" name="Picture"/>
                    <pic:cNvPicPr>
                      <a:picLocks noChangeArrowheads="1" noChangeAspect="1"/>
                    </pic:cNvPicPr>
                  </pic:nvPicPr>
                  <pic:blipFill>
                    <a:blip r:embed="rId4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Smoothway route from the car park to the road crossing, leading to the cycle hub.</w:t>
      </w:r>
    </w:p>
    <w:p>
      <w:pPr>
        <w:pStyle w:val="TextBody"/>
      </w:pPr>
      <w:r>
        <w:drawing>
          <wp:inline>
            <wp:extent cx="3305175" cy="2476500"/>
            <wp:effectExtent b="0" l="0" r="0" t="0"/>
            <wp:docPr descr="Five accessible parking bays close to the cycle hub." title="" id="1" name="Picture"/>
            <a:graphic>
              <a:graphicData uri="http://schemas.openxmlformats.org/drawingml/2006/picture">
                <pic:pic>
                  <pic:nvPicPr>
                    <pic:cNvPr descr="https://www.accessibilityguides.org/sites/default/files/styles/guide-images/public/3AEA0D97-6639-475F-8FFB-0E831E579147.jpeg?itok=E5Fex-_P" id="0" name="Picture"/>
                    <pic:cNvPicPr>
                      <a:picLocks noChangeArrowheads="1" noChangeAspect="1"/>
                    </pic:cNvPicPr>
                  </pic:nvPicPr>
                  <pic:blipFill>
                    <a:blip r:embed="rId4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Five accessible parking bays close to the cycle hub.</w:t>
      </w:r>
    </w:p>
    <w:p>
      <w:pPr>
        <w:pStyle w:val="Heading2"/>
      </w:pPr>
      <w:bookmarkStart w:id="42" w:name="arrival"/>
      <w:r>
        <w:t xml:space="preserve">Arrival</w:t>
      </w:r>
      <w:bookmarkEnd w:id="42"/>
    </w:p>
    <w:p>
      <w:pPr>
        <w:pStyle w:val="Heading4"/>
      </w:pPr>
      <w:bookmarkStart w:id="44"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3"/>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4"/>
    </w:p>
    <w:p>
      <w:pPr>
        <w:pStyle w:val="Compact"/>
        <w:numPr>
          <w:numId w:val="1009"/>
          <w:ilvl w:val="0"/>
        </w:numPr>
      </w:pPr>
      <w:r>
        <w:t xml:space="preserve">From the street to the main entrance, there is level access.</w:t>
      </w:r>
    </w:p>
    <w:p>
      <w:pPr>
        <w:pStyle w:val="Compact"/>
        <w:numPr>
          <w:numId w:val="1009"/>
          <w:ilvl w:val="0"/>
        </w:numPr>
      </w:pPr>
      <w:r>
        <w:t xml:space="preserve">The path is 1570mm wide, or more.</w:t>
      </w:r>
    </w:p>
    <w:p>
      <w:pPr>
        <w:pStyle w:val="Heading4"/>
      </w:pPr>
      <w:bookmarkStart w:id="46"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5"/>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6"/>
    </w:p>
    <w:p>
      <w:pPr>
        <w:pStyle w:val="Compact"/>
        <w:numPr>
          <w:numId w:val="1010"/>
          <w:ilvl w:val="0"/>
        </w:numPr>
      </w:pPr>
      <w:r>
        <w:t xml:space="preserve">The door is 1570mm wide.</w:t>
      </w:r>
    </w:p>
    <w:p>
      <w:pPr>
        <w:pStyle w:val="Compact"/>
        <w:numPr>
          <w:numId w:val="1010"/>
          <w:ilvl w:val="0"/>
        </w:numPr>
      </w:pPr>
      <w:r>
        <w:t xml:space="preserve">The main entrance has 1 steps.</w:t>
      </w:r>
    </w:p>
    <w:p>
      <w:pPr>
        <w:pStyle w:val="Compact"/>
        <w:numPr>
          <w:numId w:val="1010"/>
          <w:ilvl w:val="0"/>
        </w:numPr>
      </w:pPr>
      <w:r>
        <w:t xml:space="preserve">The main door is side hung and manual.</w:t>
      </w:r>
    </w:p>
    <w:p>
      <w:pPr>
        <w:pStyle w:val="Compact"/>
        <w:numPr>
          <w:numId w:val="1010"/>
          <w:ilvl w:val="0"/>
        </w:numPr>
      </w:pPr>
      <w:r>
        <w:t xml:space="preserve">The other entrance door is 860.00mm wide.</w:t>
      </w:r>
    </w:p>
    <w:p>
      <w:pPr>
        <w:pStyle w:val="Compact"/>
        <w:numPr>
          <w:numId w:val="1010"/>
          <w:ilvl w:val="0"/>
        </w:numPr>
      </w:pPr>
      <w:r>
        <w:t xml:space="preserve">The accessible entrance door is around the back of the cycle hub, entering next to the till, and it has a very slight gradient.</w:t>
      </w:r>
    </w:p>
    <w:p>
      <w:pPr>
        <w:pStyle w:val="Compact"/>
        <w:numPr>
          <w:numId w:val="1010"/>
          <w:ilvl w:val="0"/>
        </w:numPr>
      </w:pPr>
      <w:r>
        <w:t xml:space="preserve">There is also a side door which has level access down a slope, through a door with a width of 770mm. The side door leads to the lower side area of the shop and then has internal stairs which lead up to the main shop area, where the till is located.</w:t>
      </w:r>
    </w:p>
    <w:p>
      <w:pPr>
        <w:pStyle w:val="FirstParagraph"/>
      </w:pPr>
      <w:r>
        <w:drawing>
          <wp:inline>
            <wp:extent cx="3305175" cy="2476500"/>
            <wp:effectExtent b="0" l="0" r="0" t="0"/>
            <wp:docPr descr="Main entrance set of double doors with one step and shelter." title="" id="1" name="Picture"/>
            <a:graphic>
              <a:graphicData uri="http://schemas.openxmlformats.org/drawingml/2006/picture">
                <pic:pic>
                  <pic:nvPicPr>
                    <pic:cNvPr descr="https://www.accessibilityguides.org/sites/default/files/styles/guide-images/public/8DFCC5AF-B61C-49AF-9FBB-8473824ABE52.jpeg?itok=tFJ3Q_HQ" id="0" name="Picture"/>
                    <pic:cNvPicPr>
                      <a:picLocks noChangeArrowheads="1" noChangeAspect="1"/>
                    </pic:cNvPicPr>
                  </pic:nvPicPr>
                  <pic:blipFill>
                    <a:blip r:embed="rId4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Main entrance set of double doors with one step and shelter.</w:t>
      </w:r>
    </w:p>
    <w:p>
      <w:pPr>
        <w:pStyle w:val="TextBody"/>
      </w:pPr>
      <w:r>
        <w:drawing>
          <wp:inline>
            <wp:extent cx="3305175" cy="2476500"/>
            <wp:effectExtent b="0" l="0" r="0" t="0"/>
            <wp:docPr descr="Accessible level access entrance into the back of the shop with glass door and manifestations" title="" id="1" name="Picture"/>
            <a:graphic>
              <a:graphicData uri="http://schemas.openxmlformats.org/drawingml/2006/picture">
                <pic:pic>
                  <pic:nvPicPr>
                    <pic:cNvPr descr="https://www.accessibilityguides.org/sites/default/files/styles/guide-images/public/E1256361-5A52-4491-A2F7-3A0539BE9F8F.jpeg?itok=-9lNgDQI" id="0" name="Picture"/>
                    <pic:cNvPicPr>
                      <a:picLocks noChangeArrowheads="1" noChangeAspect="1"/>
                    </pic:cNvPicPr>
                  </pic:nvPicPr>
                  <pic:blipFill>
                    <a:blip r:embed="rId4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Accessible level access entrance into the back of the shop with glass door and manifestations</w:t>
      </w:r>
    </w:p>
    <w:p>
      <w:pPr>
        <w:pStyle w:val="TextBody"/>
      </w:pPr>
      <w:r>
        <w:drawing>
          <wp:inline>
            <wp:extent cx="3305175" cy="2476500"/>
            <wp:effectExtent b="0" l="0" r="0" t="0"/>
            <wp:docPr descr="Side accessible entrance into the lower level of the shop via a slope." title="" id="1" name="Picture"/>
            <a:graphic>
              <a:graphicData uri="http://schemas.openxmlformats.org/drawingml/2006/picture">
                <pic:pic>
                  <pic:nvPicPr>
                    <pic:cNvPr descr="https://www.accessibilityguides.org/sites/default/files/styles/guide-images/public/9F3F5434-BD00-42E6-B6E4-C2D8ABC09740.jpeg?itok=MAYhqla7" id="0" name="Picture"/>
                    <pic:cNvPicPr>
                      <a:picLocks noChangeArrowheads="1" noChangeAspect="1"/>
                    </pic:cNvPicPr>
                  </pic:nvPicPr>
                  <pic:blipFill>
                    <a:blip r:embed="rId4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Side accessible entrance into the lower level of the shop via a slope.</w:t>
      </w:r>
    </w:p>
    <w:p>
      <w:pPr>
        <w:pStyle w:val="Heading2"/>
      </w:pPr>
      <w:bookmarkStart w:id="50" w:name="getting-around-inside"/>
      <w:r>
        <w:t xml:space="preserve">Getting around inside</w:t>
      </w:r>
      <w:bookmarkEnd w:id="50"/>
    </w:p>
    <w:p>
      <w:pPr>
        <w:pStyle w:val="Heading4"/>
      </w:pPr>
      <w:bookmarkStart w:id="51" w:name="visual-impairment---general-information"/>
      <w:r>
        <w:t xml:space="preserve">Visual Impairment - General Information</w:t>
      </w:r>
      <w:bookmarkEnd w:id="51"/>
    </w:p>
    <w:p>
      <w:pPr>
        <w:pStyle w:val="Compact"/>
        <w:numPr>
          <w:numId w:val="1011"/>
          <w:ilvl w:val="0"/>
        </w:numPr>
      </w:pPr>
      <w:r>
        <w:t xml:space="preserve">We have contrast markings on all glass doors and high colour contrast between walls and doorframes.</w:t>
      </w:r>
    </w:p>
    <w:p>
      <w:pPr>
        <w:pStyle w:val="FirstParagraph"/>
      </w:pPr>
      <w:r>
        <w:drawing>
          <wp:inline>
            <wp:extent cx="3305175" cy="2476500"/>
            <wp:effectExtent b="0" l="0" r="0" t="0"/>
            <wp:docPr descr="The lower level of the shop showing bright lighting and silver metal rails against grey floors." title="" id="1" name="Picture"/>
            <a:graphic>
              <a:graphicData uri="http://schemas.openxmlformats.org/drawingml/2006/picture">
                <pic:pic>
                  <pic:nvPicPr>
                    <pic:cNvPr descr="https://www.accessibilityguides.org/sites/default/files/styles/guide-images/public/F1FF1059-7A17-4BA2-9C10-0F0515BB3AF1.jpeg?itok=FQxzFBJV" id="0" name="Picture"/>
                    <pic:cNvPicPr>
                      <a:picLocks noChangeArrowheads="1" noChangeAspect="1"/>
                    </pic:cNvPicPr>
                  </pic:nvPicPr>
                  <pic:blipFill>
                    <a:blip r:embed="rId5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lower level of the shop showing bright lighting and silver metal rails against grey floors.</w:t>
      </w:r>
    </w:p>
    <w:p>
      <w:pPr>
        <w:pStyle w:val="Heading4"/>
      </w:pPr>
      <w:bookmarkStart w:id="54"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53"/>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4"/>
    </w:p>
    <w:p>
      <w:pPr>
        <w:pStyle w:val="Heading4"/>
      </w:pPr>
      <w:bookmarkStart w:id="55" w:name="Xc631ada5faad92cd58524fe48c276cb6b0b927d"/>
      <w:r>
        <w:t xml:space="preserve">Till and Information Point at the Cycle Hub and Shop</w:t>
      </w:r>
      <w:bookmarkEnd w:id="55"/>
    </w:p>
    <w:p>
      <w:pPr>
        <w:pStyle w:val="Compact"/>
        <w:numPr>
          <w:numId w:val="1012"/>
          <w:ilvl w:val="0"/>
        </w:numPr>
      </w:pPr>
      <w:r>
        <w:t xml:space="preserve">From the main entrance to the desk, there is level access. There is a permanent ramp. The route is 860mm wide, or more.</w:t>
      </w:r>
    </w:p>
    <w:p>
      <w:pPr>
        <w:pStyle w:val="Compact"/>
        <w:numPr>
          <w:numId w:val="1012"/>
          <w:ilvl w:val="0"/>
        </w:numPr>
      </w:pPr>
      <w:r>
        <w:t xml:space="preserve">The door is 860mm wide, or more.</w:t>
      </w:r>
    </w:p>
    <w:p>
      <w:pPr>
        <w:pStyle w:val="Compact"/>
        <w:numPr>
          <w:numId w:val="1012"/>
          <w:ilvl w:val="0"/>
        </w:numPr>
      </w:pPr>
      <w:r>
        <w:t xml:space="preserve">The level access route to the till point in the Cycle Hub and shop is around the back of the building, up a gradual access ramp and through the 860mm manually operated door. There is one step to access the Cycle Hub and shop at the front of the building.</w:t>
      </w:r>
      <w:r>
        <w:br/>
      </w:r>
      <w:r>
        <w:t xml:space="preserve">There is no lowered counter at the desk and the desk height measures 940mm. However, staff are very attentive and helpful, so they can assist people by coming out from behind the desk if required.</w:t>
      </w:r>
    </w:p>
    <w:p>
      <w:pPr>
        <w:pStyle w:val="FirstParagraph"/>
      </w:pPr>
      <w:r>
        <w:drawing>
          <wp:inline>
            <wp:extent cx="3305175" cy="2476500"/>
            <wp:effectExtent b="0" l="0" r="0" t="0"/>
            <wp:docPr descr="Information and till desk in the cycle hub." title="" id="1" name="Picture"/>
            <a:graphic>
              <a:graphicData uri="http://schemas.openxmlformats.org/drawingml/2006/picture">
                <pic:pic>
                  <pic:nvPicPr>
                    <pic:cNvPr descr="https://www.accessibilityguides.org/sites/default/files/styles/guide-images/public/BC2F509B-C178-4195-AFA8-BF1E69D9CE5C.jpeg?itok=nKGgRKbO" id="0" name="Picture"/>
                    <pic:cNvPicPr>
                      <a:picLocks noChangeArrowheads="1" noChangeAspect="1"/>
                    </pic:cNvPicPr>
                  </pic:nvPicPr>
                  <pic:blipFill>
                    <a:blip r:embed="rId5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Information and till desk in the cycle hub.</w:t>
      </w:r>
    </w:p>
    <w:p>
      <w:pPr>
        <w:pStyle w:val="Heading4"/>
      </w:pPr>
      <w:bookmarkStart w:id="57" w:name="things-to-see-and-do"/>
      <w:r>
        <w:t xml:space="preserve">Things to See and Do</w:t>
      </w:r>
      <w:bookmarkEnd w:id="57"/>
    </w:p>
    <w:p>
      <w:pPr>
        <w:pStyle w:val="Compact"/>
        <w:numPr>
          <w:numId w:val="1013"/>
          <w:ilvl w:val="0"/>
        </w:numPr>
      </w:pPr>
      <w:r>
        <w:t xml:space="preserve">We have a complimentary ticket policy for personal assistants.</w:t>
      </w:r>
    </w:p>
    <w:p>
      <w:pPr>
        <w:pStyle w:val="Heading4"/>
      </w:pPr>
      <w:bookmarkStart w:id="58" w:name="dalby-forest-cycle-hub-and-shop"/>
      <w:r>
        <w:t xml:space="preserve">Dalby Forest Cycle Hub and Shop</w:t>
      </w:r>
      <w:bookmarkEnd w:id="58"/>
    </w:p>
    <w:p>
      <w:pPr>
        <w:pStyle w:val="Compact"/>
        <w:numPr>
          <w:numId w:val="1014"/>
          <w:ilvl w:val="0"/>
        </w:numPr>
      </w:pPr>
      <w:r>
        <w:t xml:space="preserve">From the main entrance to this area, there is level access. There is a permanent ramp. The route is 860mm wide, or more. The door is 860mm wide.</w:t>
      </w:r>
    </w:p>
    <w:p>
      <w:pPr>
        <w:pStyle w:val="Compact"/>
        <w:numPr>
          <w:numId w:val="1014"/>
          <w:ilvl w:val="0"/>
        </w:numPr>
      </w:pPr>
      <w:r>
        <w:t xml:space="preserve">Some display information is low, for wheelchair users.</w:t>
      </w:r>
    </w:p>
    <w:p>
      <w:pPr>
        <w:pStyle w:val="Compact"/>
        <w:numPr>
          <w:numId w:val="1014"/>
          <w:ilvl w:val="0"/>
        </w:numPr>
      </w:pPr>
      <w:r>
        <w:t xml:space="preserve">The level access route to the Cycle Hub Shop is around the back of the building, up a gradual access ramp and through the 860mm manually operated door. There is one step to access the Cycle Hub and shop at the front of the building.</w:t>
      </w:r>
      <w:r>
        <w:br/>
      </w:r>
      <w:r>
        <w:t xml:space="preserve">There is also a lower area of the Cycle Hub Shop which is accessed from the main Cycle Hub via a series of steps. However, this lower area can also be reached via a level access pathway outside to the right of the building which leading to the side entrance door. This entry point measures 770mm wide. </w:t>
      </w:r>
    </w:p>
    <w:p>
      <w:pPr>
        <w:pStyle w:val="FirstParagraph"/>
      </w:pPr>
      <w:r>
        <w:drawing>
          <wp:inline>
            <wp:extent cx="3305175" cy="2476500"/>
            <wp:effectExtent b="0" l="0" r="0" t="0"/>
            <wp:docPr descr="Cycle Hub main entrance doorway, with stepped access, to the right with and adapted cycle on the left" title="" id="1" name="Picture"/>
            <a:graphic>
              <a:graphicData uri="http://schemas.openxmlformats.org/drawingml/2006/picture">
                <pic:pic>
                  <pic:nvPicPr>
                    <pic:cNvPr descr="https://www.accessibilityguides.org/sites/default/files/styles/guide-images/public/1738F3AB-EC55-4A91-9AA1-0F488530CF04.jpeg?itok=QQ0abOQ9" id="0" name="Picture"/>
                    <pic:cNvPicPr>
                      <a:picLocks noChangeArrowheads="1" noChangeAspect="1"/>
                    </pic:cNvPicPr>
                  </pic:nvPicPr>
                  <pic:blipFill>
                    <a:blip r:embed="rId5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Cycle Hub main entrance doorway, with stepped access, to the right with and adapted cycle on the left</w:t>
      </w:r>
    </w:p>
    <w:p>
      <w:pPr>
        <w:pStyle w:val="TextBody"/>
      </w:pPr>
      <w:r>
        <w:drawing>
          <wp:inline>
            <wp:extent cx="3305175" cy="2476500"/>
            <wp:effectExtent b="0" l="0" r="0" t="0"/>
            <wp:docPr descr="Gradual ramp with handrails leading to the level access entry point at the Cycle Hub." title="" id="1" name="Picture"/>
            <a:graphic>
              <a:graphicData uri="http://schemas.openxmlformats.org/drawingml/2006/picture">
                <pic:pic>
                  <pic:nvPicPr>
                    <pic:cNvPr descr="https://www.accessibilityguides.org/sites/default/files/styles/guide-images/public/9D5860E1-266D-445D-B6F6-1348BE4A8ED8.jpeg?itok=yS_o2qgf" id="0" name="Picture"/>
                    <pic:cNvPicPr>
                      <a:picLocks noChangeArrowheads="1" noChangeAspect="1"/>
                    </pic:cNvPicPr>
                  </pic:nvPicPr>
                  <pic:blipFill>
                    <a:blip r:embed="rId6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Gradual ramp with handrails leading to the level access entry point at the Cycle Hub.</w:t>
      </w:r>
    </w:p>
    <w:p>
      <w:pPr>
        <w:pStyle w:val="TextBody"/>
      </w:pPr>
      <w:r>
        <w:drawing>
          <wp:inline>
            <wp:extent cx="3305175" cy="2476500"/>
            <wp:effectExtent b="0" l="0" r="0" t="0"/>
            <wp:docPr descr="Level access, outward opening entrance doorway to the rear of Dalby Forest Cycle Hub." title="" id="1" name="Picture"/>
            <a:graphic>
              <a:graphicData uri="http://schemas.openxmlformats.org/drawingml/2006/picture">
                <pic:pic>
                  <pic:nvPicPr>
                    <pic:cNvPr descr="https://www.accessibilityguides.org/sites/default/files/styles/guide-images/public/5C02FB2F-FC63-44BD-A013-26160E7FE995.jpeg?itok=DeC54r4W" id="0" name="Picture"/>
                    <pic:cNvPicPr>
                      <a:picLocks noChangeArrowheads="1" noChangeAspect="1"/>
                    </pic:cNvPicPr>
                  </pic:nvPicPr>
                  <pic:blipFill>
                    <a:blip r:embed="rId6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Level access, outward opening entrance doorway to the rear of Dalby Forest Cycle Hub.</w:t>
      </w:r>
    </w:p>
    <w:p>
      <w:pPr>
        <w:pStyle w:val="TextBody"/>
      </w:pPr>
      <w:r>
        <w:drawing>
          <wp:inline>
            <wp:extent cx="3305175" cy="2476500"/>
            <wp:effectExtent b="0" l="0" r="0" t="0"/>
            <wp:docPr descr="Level access route into lower area of Cycle Hub shop showing access ramp and doorway." title="" id="1" name="Picture"/>
            <a:graphic>
              <a:graphicData uri="http://schemas.openxmlformats.org/drawingml/2006/picture">
                <pic:pic>
                  <pic:nvPicPr>
                    <pic:cNvPr descr="https://www.accessibilityguides.org/sites/default/files/styles/guide-images/public/EF3F7F15-971A-493A-97F0-BF3FCB972733.jpeg?itok=3lpoAKdm" id="0" name="Picture"/>
                    <pic:cNvPicPr>
                      <a:picLocks noChangeArrowheads="1" noChangeAspect="1"/>
                    </pic:cNvPicPr>
                  </pic:nvPicPr>
                  <pic:blipFill>
                    <a:blip r:embed="rId6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Level access route into lower area of Cycle Hub shop showing access ramp and doorway.</w:t>
      </w:r>
    </w:p>
    <w:p>
      <w:pPr>
        <w:pStyle w:val="TextBody"/>
      </w:pPr>
      <w:r>
        <w:drawing>
          <wp:inline>
            <wp:extent cx="3305175" cy="2476500"/>
            <wp:effectExtent b="0" l="0" r="0" t="0"/>
            <wp:docPr descr="Interior view of lower area in Cycle Hub shop showing steps in the foreground, cycle display and level access entry point." title="" id="1" name="Picture"/>
            <a:graphic>
              <a:graphicData uri="http://schemas.openxmlformats.org/drawingml/2006/picture">
                <pic:pic>
                  <pic:nvPicPr>
                    <pic:cNvPr descr="https://www.accessibilityguides.org/sites/default/files/styles/guide-images/public/8FE3184D-9454-426C-BD3A-9AEF5953D657.jpeg?itok=CNq3Kag0" id="0" name="Picture"/>
                    <pic:cNvPicPr>
                      <a:picLocks noChangeArrowheads="1" noChangeAspect="1"/>
                    </pic:cNvPicPr>
                  </pic:nvPicPr>
                  <pic:blipFill>
                    <a:blip r:embed="rId6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Interior view of lower area in Cycle Hub shop showing steps in the foreground, cycle display and level access entry point.</w:t>
      </w:r>
    </w:p>
    <w:p>
      <w:pPr>
        <w:pStyle w:val="TextBody"/>
      </w:pPr>
      <w:r>
        <w:drawing>
          <wp:inline>
            <wp:extent cx="3305175" cy="2476500"/>
            <wp:effectExtent b="0" l="0" r="0" t="0"/>
            <wp:docPr descr="Upper area of Dalby Forest Cycle Hub showing clear circulation space around displays of cycles and cycling equipment." title="" id="1" name="Picture"/>
            <a:graphic>
              <a:graphicData uri="http://schemas.openxmlformats.org/drawingml/2006/picture">
                <pic:pic>
                  <pic:nvPicPr>
                    <pic:cNvPr descr="https://www.accessibilityguides.org/sites/default/files/styles/guide-images/public/49A9717B-5976-43BC-BB47-AE407957821A.jpeg?itok=H_t47wRd" id="0" name="Picture"/>
                    <pic:cNvPicPr>
                      <a:picLocks noChangeArrowheads="1" noChangeAspect="1"/>
                    </pic:cNvPicPr>
                  </pic:nvPicPr>
                  <pic:blipFill>
                    <a:blip r:embed="rId6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Upper area of Dalby Forest Cycle Hub showing clear circulation space around displays of cycles and cycling equipment.</w:t>
      </w:r>
    </w:p>
    <w:p>
      <w:pPr>
        <w:pStyle w:val="TextBody"/>
      </w:pPr>
      <w:r>
        <w:drawing>
          <wp:inline>
            <wp:extent cx="3305175" cy="2476500"/>
            <wp:effectExtent b="0" l="0" r="0" t="0"/>
            <wp:docPr descr="Till point within Dalby Forest Cycle Hub with clear circulation space in front." title="" id="1" name="Picture"/>
            <a:graphic>
              <a:graphicData uri="http://schemas.openxmlformats.org/drawingml/2006/picture">
                <pic:pic>
                  <pic:nvPicPr>
                    <pic:cNvPr descr="https://www.accessibilityguides.org/sites/default/files/styles/guide-images/public/C4DDA68D-39E3-4A99-B948-B14FD55FE12F.jpeg?itok=VPSB7XXn" id="0" name="Picture"/>
                    <pic:cNvPicPr>
                      <a:picLocks noChangeArrowheads="1" noChangeAspect="1"/>
                    </pic:cNvPicPr>
                  </pic:nvPicPr>
                  <pic:blipFill>
                    <a:blip r:embed="rId6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Till point within Dalby Forest Cycle Hub with clear circulation space in front.</w:t>
      </w:r>
    </w:p>
    <w:p>
      <w:pPr>
        <w:pStyle w:val="Heading4"/>
      </w:pPr>
      <w:bookmarkStart w:id="67"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6"/>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67"/>
    </w:p>
    <w:p>
      <w:pPr>
        <w:pStyle w:val="Heading4"/>
      </w:pPr>
      <w:bookmarkStart w:id="68" w:name="toilet-facilities-next-to-the-cycle-hub"/>
      <w:r>
        <w:t xml:space="preserve">Toilet facilities next to the Cycle Hub</w:t>
      </w:r>
      <w:bookmarkEnd w:id="68"/>
    </w:p>
    <w:p>
      <w:pPr>
        <w:pStyle w:val="Compact"/>
        <w:numPr>
          <w:numId w:val="1015"/>
          <w:ilvl w:val="0"/>
        </w:numPr>
      </w:pPr>
      <w:r>
        <w:t xml:space="preserve">There is a public toilet for disabled visitors.</w:t>
      </w:r>
    </w:p>
    <w:p>
      <w:pPr>
        <w:pStyle w:val="Compact"/>
        <w:numPr>
          <w:numId w:val="1015"/>
          <w:ilvl w:val="0"/>
        </w:numPr>
      </w:pPr>
      <w:r>
        <w:t xml:space="preserve">From the main entrance to the public toilet, there is level access. There is a permanent ramp.</w:t>
      </w:r>
    </w:p>
    <w:p>
      <w:pPr>
        <w:pStyle w:val="Compact"/>
        <w:numPr>
          <w:numId w:val="1015"/>
          <w:ilvl w:val="0"/>
        </w:numPr>
      </w:pPr>
      <w:r>
        <w:t xml:space="preserve">The route is 1020mm wide, or more.</w:t>
      </w:r>
    </w:p>
    <w:p>
      <w:pPr>
        <w:pStyle w:val="Compact"/>
        <w:numPr>
          <w:numId w:val="1015"/>
          <w:ilvl w:val="0"/>
        </w:numPr>
      </w:pPr>
      <w:r>
        <w:t xml:space="preserve">The toilet door is 820mm wide.</w:t>
      </w:r>
    </w:p>
    <w:p>
      <w:pPr>
        <w:pStyle w:val="Compact"/>
        <w:numPr>
          <w:numId w:val="1015"/>
          <w:ilvl w:val="0"/>
        </w:numPr>
      </w:pPr>
      <w:r>
        <w:t xml:space="preserve">The direction of transfer onto the toilet is to the right.</w:t>
      </w:r>
    </w:p>
    <w:p>
      <w:pPr>
        <w:pStyle w:val="Compact"/>
        <w:numPr>
          <w:numId w:val="1015"/>
          <w:ilvl w:val="0"/>
        </w:numPr>
      </w:pPr>
      <w:r>
        <w:t xml:space="preserve">There is 1570mm at the side of the toilet. There is 2460mm in front of the toilet. The toilet seat is 480mm high. The toilets have handrails.</w:t>
      </w:r>
    </w:p>
    <w:p>
      <w:pPr>
        <w:pStyle w:val="Compact"/>
        <w:numPr>
          <w:numId w:val="1015"/>
          <w:ilvl w:val="0"/>
        </w:numPr>
      </w:pPr>
      <w:r>
        <w:t xml:space="preserve">There is a drop-down grab rail on the right hand side of the toilet and two fixed grab rails on the left hand side of the toilet, all with good visual contrast against the surrounding walls.</w:t>
      </w:r>
    </w:p>
    <w:p>
      <w:pPr>
        <w:pStyle w:val="FirstParagraph"/>
      </w:pPr>
      <w:r>
        <w:drawing>
          <wp:inline>
            <wp:extent cx="3305175" cy="2476500"/>
            <wp:effectExtent b="0" l="0" r="0" t="0"/>
            <wp:docPr descr="Accessible toilet at the cycle hub showing good visual contrast between the grab rails and walls and between the toilet and seat" title="" id="1" name="Picture"/>
            <a:graphic>
              <a:graphicData uri="http://schemas.openxmlformats.org/drawingml/2006/picture">
                <pic:pic>
                  <pic:nvPicPr>
                    <pic:cNvPr descr="https://www.accessibilityguides.org/sites/default/files/styles/guide-images/public/60C94958-EFD2-45DA-B142-F14065BE65E3.jpeg?itok=nMpcLHWF" id="0" name="Picture"/>
                    <pic:cNvPicPr>
                      <a:picLocks noChangeArrowheads="1" noChangeAspect="1"/>
                    </pic:cNvPicPr>
                  </pic:nvPicPr>
                  <pic:blipFill>
                    <a:blip r:embed="rId6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Accessible toilet at the cycle hub showing good visual contrast between the grab rails and walls and between the toilet and seat</w:t>
      </w:r>
    </w:p>
    <w:p>
      <w:pPr>
        <w:pStyle w:val="Heading2"/>
      </w:pPr>
      <w:bookmarkStart w:id="70" w:name="getting-around-outside"/>
      <w:r>
        <w:t xml:space="preserve">Getting around outside</w:t>
      </w:r>
      <w:bookmarkEnd w:id="70"/>
    </w:p>
    <w:p>
      <w:pPr>
        <w:pStyle w:val="Heading4"/>
      </w:pPr>
      <w:bookmarkStart w:id="72" w:name="picnic-area"/>
      <w:r>
        <w:drawing>
          <wp:inline>
            <wp:extent cx="203200" cy="114300"/>
            <wp:effectExtent b="0" l="0" r="0" t="0"/>
            <wp:docPr descr="" title="" id="1" name="Picture"/>
            <a:graphic>
              <a:graphicData uri="http://schemas.openxmlformats.org/drawingml/2006/picture">
                <pic:pic>
                  <pic:nvPicPr>
                    <pic:cNvPr descr="http://www.accessibilityguides.org/sites/all/themes/accessibility_theme/Archive/Layer-22.png" id="0" name="Picture"/>
                    <pic:cNvPicPr>
                      <a:picLocks noChangeArrowheads="1" noChangeAspect="1"/>
                    </pic:cNvPicPr>
                  </pic:nvPicPr>
                  <pic:blipFill>
                    <a:blip r:embed="rId71"/>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Picnic Area</w:t>
      </w:r>
      <w:bookmarkEnd w:id="72"/>
    </w:p>
    <w:p>
      <w:pPr>
        <w:pStyle w:val="Heading4"/>
      </w:pPr>
      <w:bookmarkStart w:id="73" w:name="X3ef5de526242732d9554879b8e18a459dc0d251"/>
      <w:r>
        <w:t xml:space="preserve">Picnic benches near the Dalby Forest Cycle Hub (two areas).</w:t>
      </w:r>
      <w:bookmarkEnd w:id="73"/>
    </w:p>
    <w:p>
      <w:pPr>
        <w:pStyle w:val="Compact"/>
        <w:numPr>
          <w:numId w:val="1016"/>
          <w:ilvl w:val="0"/>
        </w:numPr>
      </w:pPr>
      <w:r>
        <w:t xml:space="preserve">From the car park to the picnic area, there is level access. The path is 1000mm wide, or more.</w:t>
      </w:r>
    </w:p>
    <w:p>
      <w:pPr>
        <w:pStyle w:val="Compact"/>
        <w:numPr>
          <w:numId w:val="1016"/>
          <w:ilvl w:val="0"/>
        </w:numPr>
      </w:pPr>
      <w:r>
        <w:t xml:space="preserve">The entrance is 1570mm wide.</w:t>
      </w:r>
    </w:p>
    <w:p>
      <w:pPr>
        <w:pStyle w:val="Compact"/>
        <w:numPr>
          <w:numId w:val="1016"/>
          <w:ilvl w:val="0"/>
        </w:numPr>
      </w:pPr>
      <w:r>
        <w:t xml:space="preserve">Some tables have space for wheelchair users. You can bring your own food to the picnic area.</w:t>
      </w:r>
    </w:p>
    <w:p>
      <w:pPr>
        <w:pStyle w:val="FirstParagraph"/>
      </w:pPr>
      <w:r>
        <w:drawing>
          <wp:inline>
            <wp:extent cx="3305175" cy="2476500"/>
            <wp:effectExtent b="0" l="0" r="0" t="0"/>
            <wp:docPr descr="Picnic area between the car park and the Cycle Hub with some wheelchair accessible picnic benches." title="" id="1" name="Picture"/>
            <a:graphic>
              <a:graphicData uri="http://schemas.openxmlformats.org/drawingml/2006/picture">
                <pic:pic>
                  <pic:nvPicPr>
                    <pic:cNvPr descr="https://www.accessibilityguides.org/sites/default/files/styles/guide-images/public/72F2C611-A3D3-4D70-9B0E-E6A617B272D7.jpeg?itok=7e4RDgvB" id="0" name="Picture"/>
                    <pic:cNvPicPr>
                      <a:picLocks noChangeArrowheads="1" noChangeAspect="1"/>
                    </pic:cNvPicPr>
                  </pic:nvPicPr>
                  <pic:blipFill>
                    <a:blip r:embed="rId7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Picnic area between the car park and the Cycle Hub with some wheelchair accessible picnic benches.</w:t>
      </w:r>
    </w:p>
    <w:p>
      <w:pPr>
        <w:pStyle w:val="TextBody"/>
      </w:pPr>
      <w:r>
        <w:drawing>
          <wp:inline>
            <wp:extent cx="3305175" cy="2476500"/>
            <wp:effectExtent b="0" l="0" r="0" t="0"/>
            <wp:docPr descr="Wheelchair accessible bench in front of the cycle hub." title="" id="1" name="Picture"/>
            <a:graphic>
              <a:graphicData uri="http://schemas.openxmlformats.org/drawingml/2006/picture">
                <pic:pic>
                  <pic:nvPicPr>
                    <pic:cNvPr descr="https://www.accessibilityguides.org/sites/default/files/styles/guide-images/public/0E53D30B-BF4F-44D3-A669-8645DF16FAAA.jpeg?itok=5MgzsLGS" id="0" name="Picture"/>
                    <pic:cNvPicPr>
                      <a:picLocks noChangeArrowheads="1" noChangeAspect="1"/>
                    </pic:cNvPicPr>
                  </pic:nvPicPr>
                  <pic:blipFill>
                    <a:blip r:embed="rId7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Wheelchair accessible bench in front of the cycle hub.</w:t>
      </w:r>
    </w:p>
    <w:p>
      <w:pPr>
        <w:pStyle w:val="Heading2"/>
      </w:pPr>
      <w:bookmarkStart w:id="76" w:name="customer-care-support"/>
      <w:r>
        <w:t xml:space="preserve">Customer care support</w:t>
      </w:r>
      <w:bookmarkEnd w:id="76"/>
    </w:p>
    <w:p>
      <w:pPr>
        <w:pStyle w:val="Heading4"/>
      </w:pPr>
      <w:bookmarkStart w:id="77" w:name="accessibility-equipment"/>
      <w:r>
        <w:t xml:space="preserve">Accessibility equipment</w:t>
      </w:r>
      <w:bookmarkEnd w:id="77"/>
    </w:p>
    <w:p>
      <w:pPr>
        <w:pStyle w:val="Compact"/>
        <w:numPr>
          <w:numId w:val="1017"/>
          <w:ilvl w:val="0"/>
        </w:numPr>
      </w:pPr>
      <w:r>
        <w:t xml:space="preserve">There is a large variety of adapted/accessible bicycles for both children and adults to hire to suit different abilities and access needs.</w:t>
      </w:r>
    </w:p>
    <w:p>
      <w:pPr>
        <w:pStyle w:val="Compact"/>
        <w:numPr>
          <w:numId w:val="1017"/>
          <w:ilvl w:val="0"/>
        </w:numPr>
      </w:pPr>
      <w:r>
        <w:t xml:space="preserve">For a list of more items, please go to https://www.dalbyforestcyclehub.co.uk/bike-hire/adapted-bike-hire/.</w:t>
      </w:r>
    </w:p>
    <w:p>
      <w:pPr>
        <w:pStyle w:val="Compact"/>
        <w:numPr>
          <w:numId w:val="1017"/>
          <w:ilvl w:val="0"/>
        </w:numPr>
      </w:pPr>
      <w:r>
        <w:t xml:space="preserve">There is no specific spend area for assistance dogs, as the whole forest can be used and waste collected/disposed of appropriately.</w:t>
      </w:r>
    </w:p>
    <w:p>
      <w:pPr>
        <w:pStyle w:val="Compact"/>
        <w:numPr>
          <w:numId w:val="1017"/>
          <w:ilvl w:val="0"/>
        </w:numPr>
      </w:pPr>
      <w:r>
        <w:t xml:space="preserve">We have an area to charge mobility scooters and battery powered wheelchairs.</w:t>
      </w:r>
    </w:p>
    <w:p>
      <w:pPr>
        <w:pStyle w:val="Compact"/>
        <w:numPr>
          <w:numId w:val="1017"/>
          <w:ilvl w:val="0"/>
        </w:numPr>
      </w:pPr>
      <w:r>
        <w:t xml:space="preserve">There are plug sockets inside the shop, where people can charge their mobility scooters etc.</w:t>
      </w:r>
    </w:p>
    <w:p>
      <w:pPr>
        <w:pStyle w:val="FirstParagraph"/>
      </w:pPr>
      <w:r>
        <w:drawing>
          <wp:inline>
            <wp:extent cx="3305175" cy="2476500"/>
            <wp:effectExtent b="0" l="0" r="0" t="0"/>
            <wp:docPr descr="Range of adapted cycles outside Dalby Forest Cycle Hub." title="" id="1" name="Picture"/>
            <a:graphic>
              <a:graphicData uri="http://schemas.openxmlformats.org/drawingml/2006/picture">
                <pic:pic>
                  <pic:nvPicPr>
                    <pic:cNvPr descr="https://www.accessibilityguides.org/sites/default/files/styles/guide-images/public/7242FBA7-7226-47FE-8E8D-0E065B46F9BF.jpeg?itok=gqsU2JHD" id="0" name="Picture"/>
                    <pic:cNvPicPr>
                      <a:picLocks noChangeArrowheads="1" noChangeAspect="1"/>
                    </pic:cNvPicPr>
                  </pic:nvPicPr>
                  <pic:blipFill>
                    <a:blip r:embed="rId7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Range of adapted cycles outside Dalby Forest Cycle Hub.</w:t>
      </w:r>
    </w:p>
    <w:p>
      <w:pPr>
        <w:pStyle w:val="TextBody"/>
      </w:pPr>
      <w:r>
        <w:drawing>
          <wp:inline>
            <wp:extent cx="3305175" cy="2476500"/>
            <wp:effectExtent b="0" l="0" r="0" t="0"/>
            <wp:docPr descr="Close up of two adapted cycles outside Dalby Forest Cycle Hub." title="" id="1" name="Picture"/>
            <a:graphic>
              <a:graphicData uri="http://schemas.openxmlformats.org/drawingml/2006/picture">
                <pic:pic>
                  <pic:nvPicPr>
                    <pic:cNvPr descr="https://www.accessibilityguides.org/sites/default/files/styles/guide-images/public/6F9E5674-78E6-4F28-9324-372DFA27977C.jpeg?itok=5W3amQ_i" id="0" name="Picture"/>
                    <pic:cNvPicPr>
                      <a:picLocks noChangeArrowheads="1" noChangeAspect="1"/>
                    </pic:cNvPicPr>
                  </pic:nvPicPr>
                  <pic:blipFill>
                    <a:blip r:embed="rId7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Close up of two adapted cycles outside Dalby Forest Cycle Hub.</w:t>
      </w:r>
    </w:p>
    <w:p>
      <w:pPr>
        <w:pStyle w:val="Heading4"/>
      </w:pPr>
      <w:bookmarkStart w:id="80" w:name="emergency-evacuation-procedures"/>
      <w:r>
        <w:t xml:space="preserve">Emergency evacuation procedures</w:t>
      </w:r>
      <w:bookmarkEnd w:id="80"/>
    </w:p>
    <w:p>
      <w:pPr>
        <w:pStyle w:val="Compact"/>
        <w:numPr>
          <w:numId w:val="1018"/>
          <w:ilvl w:val="0"/>
        </w:numPr>
      </w:pPr>
      <w:r>
        <w:t xml:space="preserve">We have emergency evacuation procedures for disabled visitors.</w:t>
      </w:r>
    </w:p>
    <w:p>
      <w:pPr>
        <w:pStyle w:val="Compact"/>
        <w:numPr>
          <w:numId w:val="1018"/>
          <w:ilvl w:val="0"/>
        </w:numPr>
      </w:pPr>
      <w:r>
        <w:t xml:space="preserve">There is a pager system where cycle hire users can page back to staff members at the shop who can come and help provide help in the forest, as there is known to be a lack of signal in many areas.</w:t>
      </w:r>
    </w:p>
    <w:p>
      <w:pPr>
        <w:pStyle w:val="Heading4"/>
      </w:pPr>
      <w:bookmarkStart w:id="81" w:name="customer-care-support-1"/>
      <w:r>
        <w:t xml:space="preserve">Customer care support</w:t>
      </w:r>
      <w:bookmarkEnd w:id="81"/>
    </w:p>
    <w:p>
      <w:pPr>
        <w:pStyle w:val="Compact"/>
        <w:numPr>
          <w:numId w:val="1019"/>
          <w:ilvl w:val="0"/>
        </w:numPr>
      </w:pPr>
      <w:r>
        <w:t xml:space="preserve">Some staff have disability awareness training.</w:t>
      </w:r>
    </w:p>
    <w:p>
      <w:pPr>
        <w:pStyle w:val="Compact"/>
        <w:numPr>
          <w:numId w:val="1019"/>
          <w:ilvl w:val="0"/>
        </w:numPr>
      </w:pPr>
      <w:r>
        <w:t xml:space="preserve">We have other services for people with accessibility requirements.</w:t>
      </w:r>
    </w:p>
    <w:p>
      <w:pPr>
        <w:pStyle w:val="Compact"/>
        <w:numPr>
          <w:numId w:val="1019"/>
          <w:ilvl w:val="0"/>
        </w:numPr>
      </w:pPr>
      <w:r>
        <w:t xml:space="preserve">There is a free bike testing service where people can come and try out which bike is suitable for them and their needs.</w:t>
      </w:r>
    </w:p>
    <w:p>
      <w:r>
        <w:pict>
          <v:rect style="width:0;height:1.5pt" o:hralign="center" o:hrstd="t" o:hr="t"/>
        </w:pict>
      </w:r>
    </w:p>
    <w:p>
      <w:pPr>
        <w:pStyle w:val="FirstParagraph"/>
      </w:pPr>
      <w:r>
        <w:t xml:space="preserve">Guide last updated: 29 June 2022</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53" Target="media/rId53.png" /><Relationship Type="http://schemas.openxmlformats.org/officeDocument/2006/relationships/image" Id="rId71" Target="media/rId71.png" /><Relationship Type="http://schemas.openxmlformats.org/officeDocument/2006/relationships/image" Id="rId37" Target="media/rId37.png" /><Relationship Type="http://schemas.openxmlformats.org/officeDocument/2006/relationships/image" Id="rId43" Target="media/rId43.png" /><Relationship Type="http://schemas.openxmlformats.org/officeDocument/2006/relationships/image" Id="rId66" Target="media/rId66.png" /><Relationship Type="http://schemas.openxmlformats.org/officeDocument/2006/relationships/image" Id="rId45" Target="media/rId45.png" /><Relationship Type="http://schemas.openxmlformats.org/officeDocument/2006/relationships/image" Id="rId34" Target="media/rId34.png" /><Relationship Type="http://schemas.openxmlformats.org/officeDocument/2006/relationships/image" Id="rId30" Target="media/rId30.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20" Target="media/rId20.png" /><Relationship Type="http://schemas.openxmlformats.org/officeDocument/2006/relationships/image" Id="rId75" Target="media/rId75.jpg" /><Relationship Type="http://schemas.openxmlformats.org/officeDocument/2006/relationships/image" Id="rId59" Target="media/rId59.jpg" /><Relationship Type="http://schemas.openxmlformats.org/officeDocument/2006/relationships/image" Id="rId39" Target="media/rId39.jpg" /><Relationship Type="http://schemas.openxmlformats.org/officeDocument/2006/relationships/image" Id="rId40" Target="media/rId40.jpg" /><Relationship Type="http://schemas.openxmlformats.org/officeDocument/2006/relationships/image" Id="rId41" Target="media/rId41.jpg" /><Relationship Type="http://schemas.openxmlformats.org/officeDocument/2006/relationships/image" Id="rId64" Target="media/rId64.jpg" /><Relationship Type="http://schemas.openxmlformats.org/officeDocument/2006/relationships/image" Id="rId61" Target="media/rId61.jpg" /><Relationship Type="http://schemas.openxmlformats.org/officeDocument/2006/relationships/image" Id="rId69" Target="media/rId69.jpg" /><Relationship Type="http://schemas.openxmlformats.org/officeDocument/2006/relationships/image" Id="rId79" Target="media/rId79.jpg" /><Relationship Type="http://schemas.openxmlformats.org/officeDocument/2006/relationships/image" Id="rId78" Target="media/rId78.jpg" /><Relationship Type="http://schemas.openxmlformats.org/officeDocument/2006/relationships/image" Id="rId74" Target="media/rId74.jpg" /><Relationship Type="http://schemas.openxmlformats.org/officeDocument/2006/relationships/image" Id="rId47" Target="media/rId47.jpg" /><Relationship Type="http://schemas.openxmlformats.org/officeDocument/2006/relationships/image" Id="rId63" Target="media/rId63.jpg" /><Relationship Type="http://schemas.openxmlformats.org/officeDocument/2006/relationships/image" Id="rId60" Target="media/rId60.jpg" /><Relationship Type="http://schemas.openxmlformats.org/officeDocument/2006/relationships/image" Id="rId49" Target="media/rId49.jpg" /><Relationship Type="http://schemas.openxmlformats.org/officeDocument/2006/relationships/image" Id="rId56" Target="media/rId56.jpg" /><Relationship Type="http://schemas.openxmlformats.org/officeDocument/2006/relationships/image" Id="rId65" Target="media/rId65.jpg" /><Relationship Type="http://schemas.openxmlformats.org/officeDocument/2006/relationships/image" Id="rId48" Target="media/rId48.jpg" /><Relationship Type="http://schemas.openxmlformats.org/officeDocument/2006/relationships/image" Id="rId62" Target="media/rId62.jpg" /><Relationship Type="http://schemas.openxmlformats.org/officeDocument/2006/relationships/image" Id="rId52" Target="media/rId52.jpg" /><Relationship Type="http://schemas.openxmlformats.org/officeDocument/2006/relationships/image" Id="rId25" Target="media/rId25.jpg" /><Relationship Type="http://schemas.openxmlformats.org/officeDocument/2006/relationships/hyperlink" Id="rId24" Target="https://www.dalbyforestcyclehub.co.uk/" TargetMode="External" /><Relationship Type="http://schemas.openxmlformats.org/officeDocument/2006/relationships/hyperlink" Id="rId22" Target="mailto:info@dalbyforestcyclehub.co.uk" TargetMode="External" /><Relationship Type="http://schemas.openxmlformats.org/officeDocument/2006/relationships/hyperlink" Id="rId23" Target="tel:01751%20460585" TargetMode="External" /></Relationships>
</file>

<file path=word/_rels/footnotes.xml.rels><?xml version="1.0" encoding="UTF-8"?>
<Relationships xmlns="http://schemas.openxmlformats.org/package/2006/relationships"><Relationship Type="http://schemas.openxmlformats.org/officeDocument/2006/relationships/hyperlink" Id="rId24" Target="https://www.dalbyforestcyclehub.co.uk/" TargetMode="External" /><Relationship Type="http://schemas.openxmlformats.org/officeDocument/2006/relationships/hyperlink" Id="rId22" Target="mailto:info@dalbyforestcyclehub.co.uk" TargetMode="External" /><Relationship Type="http://schemas.openxmlformats.org/officeDocument/2006/relationships/hyperlink" Id="rId23" Target="tel:01751%2046058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2024-03-29T08:03:59Z</dcterms:created>
  <dcterms:modified xsi:type="dcterms:W3CDTF">2024-03-29T08:03:59Z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