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4.png" ContentType="image/png"/>
  <Override PartName="/word/media/rId62.png" ContentType="image/png"/>
  <Override PartName="/word/media/rId66.png" ContentType="image/png"/>
  <Override PartName="/word/media/rId46.png" ContentType="image/png"/>
  <Override PartName="/word/media/rId48.png" ContentType="image/png"/>
  <Override PartName="/word/media/rId52.png" ContentType="image/png"/>
  <Override PartName="/word/media/rId54.png" ContentType="image/png"/>
  <Override PartName="/word/media/rId60.png" ContentType="image/png"/>
  <Override PartName="/word/media/rId31.png" ContentType="image/png"/>
  <Override PartName="/word/media/rId33.png" ContentType="image/png"/>
  <Override PartName="/word/media/rId41.png" ContentType="image/png"/>
  <Override PartName="/word/media/rId37.png" ContentType="image/png"/>
  <Override PartName="/word/media/rId35.png" ContentType="image/png"/>
  <Override PartName="/word/media/rId29.png" ContentType="image/png"/>
  <Override PartName="/word/media/rId39.png" ContentType="image/png"/>
  <Override PartName="/word/media/rId20.png" ContentType="image/png"/>
  <Override PartName="/word/media/rId74.jpg" ContentType="image/jpeg"/>
  <Override PartName="/word/media/rId73.jpg" ContentType="image/jpeg"/>
  <Override PartName="/word/media/rId77.jpg" ContentType="image/jpeg"/>
  <Override PartName="/word/media/rId76.jpg" ContentType="image/jpeg"/>
  <Override PartName="/word/media/rId50.jpg" ContentType="image/jpeg"/>
  <Override PartName="/word/media/rId59.jpg" ContentType="image/jpeg"/>
  <Override PartName="/word/media/rId65.jpg" ContentType="image/jpeg"/>
  <Override PartName="/word/media/rId58.jpg" ContentType="image/jpeg"/>
  <Override PartName="/word/media/rId71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5727700" cy="5886108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Polrunny%20Farm%20Cottages%20Logo_5.png?itok=p-8R4c9X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886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e1b1e76236499a426e436f92461a8c9760a23ea"/>
      <w:r>
        <w:t xml:space="preserve">Accessibility Guide for Polrunny Farm - Seaberry Cottage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stay@polrunnyfarm.com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01840250049,</w:t>
        </w:r>
      </w:hyperlink>
      <w:r>
        <w:t xml:space="preserve"> </w:t>
      </w:r>
      <w:hyperlink r:id="rId24">
        <w:r>
          <w:rPr>
            <w:rStyle w:val="InternetLink"/>
          </w:rPr>
          <w:t xml:space="preserve">www.polrunnyfarm.com</w:t>
        </w:r>
      </w:hyperlink>
    </w:p>
    <w:p>
      <w:pPr>
        <w:pStyle w:val="TextBody"/>
      </w:pPr>
      <w:r>
        <w:rPr>
          <w:b/>
        </w:rPr>
        <w:t xml:space="preserve">Contact for accessibility enquiries: Adam Benjamin</w:t>
      </w:r>
    </w:p>
    <w:p>
      <w:pPr>
        <w:pStyle w:val="Compact"/>
      </w:pPr>
      <w:r>
        <w:drawing>
          <wp:inline>
            <wp:extent cx="5715000" cy="381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Polrunny_Farm_Seaberry_cottage_slate_seaberry_sign.jpg?itok=3_d_861U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Polrunny Farm and Holiday Cottages are situated an area of outstanding natural beauty in the hills above the picturesque harbour village of Boscastle on North Cornwall's spectacular North coast.</w:t>
      </w:r>
    </w:p>
    <w:p>
      <w:pPr>
        <w:pStyle w:val="TextBody"/>
      </w:pPr>
      <w:r>
        <w:t xml:space="preserve">SeaberryCottage is one of four self-catering cottages on the farm. With its' stunning sea and countryside views, this one-bed single-level cottage is a popular choice for a romantic escape.</w:t>
      </w:r>
    </w:p>
    <w:p>
      <w:pPr>
        <w:pStyle w:val="TextBody"/>
      </w:pPr>
      <w:r>
        <w:t xml:space="preserve">We hope that the information within this guide will help you judge for yourselves whether it meets your particular accessibility needs.</w:t>
      </w:r>
    </w:p>
    <w:p>
      <w:pPr>
        <w:pStyle w:val="Compact"/>
      </w:pPr>
      <w:r>
        <w:t xml:space="preserve">Watch the video:</w:t>
      </w:r>
      <w:r>
        <w:t xml:space="preserve"> </w:t>
      </w:r>
      <w:hyperlink r:id="rId27">
        <w:r>
          <w:rPr>
            <w:rStyle w:val="InternetLink"/>
          </w:rPr>
          <w:t xml:space="preserve">Introduction to Polrunny Farm</w:t>
        </w:r>
      </w:hyperlink>
    </w:p>
    <w:p>
      <w:pPr>
        <w:pStyle w:val="Heading2"/>
      </w:pPr>
      <w:bookmarkStart w:id="28" w:name="at-a-glance"/>
      <w:r>
        <w:t xml:space="preserve">At a Glance</w:t>
      </w:r>
      <w:bookmarkEnd w:id="28"/>
    </w:p>
    <w:p>
      <w:pPr>
        <w:pStyle w:val="Heading3"/>
      </w:pPr>
      <w:bookmarkStart w:id="30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30"/>
    </w:p>
    <w:p>
      <w:pPr>
        <w:pStyle w:val="Compact"/>
        <w:numPr>
          <w:numId w:val="1001"/>
          <w:ilvl w:val="0"/>
        </w:numPr>
      </w:pPr>
      <w:r>
        <w:t xml:space="preserve">The main entrance has 1 step. There is no lift and no ramp.</w:t>
      </w:r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Seaberry Lounge</w:t>
      </w:r>
    </w:p>
    <w:p>
      <w:pPr>
        <w:pStyle w:val="Compact"/>
        <w:numPr>
          <w:numId w:val="1002"/>
          <w:ilvl w:val="1"/>
        </w:numPr>
      </w:pPr>
      <w:r>
        <w:t xml:space="preserve">Courtyard seating</w:t>
      </w:r>
    </w:p>
    <w:p>
      <w:pPr>
        <w:pStyle w:val="Compact"/>
        <w:numPr>
          <w:numId w:val="1002"/>
          <w:ilvl w:val="1"/>
        </w:numPr>
      </w:pPr>
      <w:r>
        <w:t xml:space="preserve">Sea-view breakfast area</w:t>
      </w:r>
    </w:p>
    <w:p>
      <w:pPr>
        <w:pStyle w:val="Heading3"/>
      </w:pPr>
      <w:bookmarkStart w:id="32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32"/>
    </w:p>
    <w:p>
      <w:pPr>
        <w:numPr>
          <w:numId w:val="1003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4"/>
          <w:ilvl w:val="1"/>
        </w:numPr>
      </w:pPr>
      <w:r>
        <w:t xml:space="preserve">Farm Garden</w:t>
      </w:r>
    </w:p>
    <w:p>
      <w:pPr>
        <w:pStyle w:val="Heading3"/>
      </w:pPr>
      <w:bookmarkStart w:id="34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4"/>
    </w:p>
    <w:p>
      <w:pPr>
        <w:pStyle w:val="Compact"/>
        <w:numPr>
          <w:numId w:val="1005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6" w:name="level-access-bedrooms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-bedrooms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 bedrooms</w:t>
      </w:r>
      <w:bookmarkEnd w:id="36"/>
    </w:p>
    <w:p>
      <w:pPr>
        <w:pStyle w:val="Compact"/>
        <w:numPr>
          <w:numId w:val="1006"/>
          <w:ilvl w:val="0"/>
        </w:numPr>
      </w:pPr>
      <w:r>
        <w:t xml:space="preserve">From the main entrance to the bedroom, there is level access.</w:t>
      </w:r>
    </w:p>
    <w:p>
      <w:pPr>
        <w:pStyle w:val="Heading3"/>
      </w:pPr>
      <w:bookmarkStart w:id="38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8"/>
    </w:p>
    <w:p>
      <w:pPr>
        <w:pStyle w:val="Compact"/>
        <w:numPr>
          <w:numId w:val="1007"/>
          <w:ilvl w:val="0"/>
        </w:numPr>
      </w:pPr>
      <w:r>
        <w:t xml:space="preserve">The (bedroom) TVs have subtitles.</w:t>
      </w:r>
    </w:p>
    <w:p>
      <w:pPr>
        <w:pStyle w:val="Compact"/>
        <w:numPr>
          <w:numId w:val="1007"/>
          <w:ilvl w:val="0"/>
        </w:numPr>
      </w:pPr>
      <w:r>
        <w:t xml:space="preserve">All staff have disability awareness training.</w:t>
      </w:r>
    </w:p>
    <w:p>
      <w:pPr>
        <w:pStyle w:val="Heading3"/>
      </w:pPr>
      <w:bookmarkStart w:id="40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40"/>
    </w:p>
    <w:p>
      <w:pPr>
        <w:pStyle w:val="Compact"/>
        <w:numPr>
          <w:numId w:val="1008"/>
          <w:ilvl w:val="0"/>
        </w:numPr>
      </w:pPr>
      <w:r>
        <w:t xml:space="preserve">The walls and the doors have high colour contrast.</w:t>
      </w:r>
    </w:p>
    <w:p>
      <w:pPr>
        <w:pStyle w:val="Heading3"/>
      </w:pPr>
      <w:bookmarkStart w:id="42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42"/>
    </w:p>
    <w:p>
      <w:pPr>
        <w:pStyle w:val="Compact"/>
        <w:numPr>
          <w:numId w:val="1009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09"/>
          <w:ilvl w:val="0"/>
        </w:numPr>
      </w:pPr>
      <w:r>
        <w:t xml:space="preserve">All staff have disability awareness training.</w:t>
      </w:r>
    </w:p>
    <w:p>
      <w:pPr>
        <w:pStyle w:val="Compact"/>
        <w:numPr>
          <w:numId w:val="1009"/>
          <w:ilvl w:val="0"/>
        </w:numPr>
      </w:pPr>
      <w:r>
        <w:t xml:space="preserve">We have emergency evacuation procedures for disabled visitors.</w:t>
      </w:r>
    </w:p>
    <w:p>
      <w:pPr>
        <w:pStyle w:val="Heading2"/>
      </w:pPr>
      <w:bookmarkStart w:id="43" w:name="getting-here"/>
      <w:r>
        <w:t xml:space="preserve">Getting here</w:t>
      </w:r>
      <w:bookmarkEnd w:id="43"/>
    </w:p>
    <w:p>
      <w:pPr>
        <w:pStyle w:val="Compact"/>
      </w:pPr>
      <w:r>
        <w:t xml:space="preserve">Polrunny Farm</w:t>
      </w:r>
      <w:r>
        <w:br/>
      </w:r>
      <w:r>
        <w:t xml:space="preserve">Minster</w:t>
      </w:r>
      <w:r>
        <w:br/>
      </w:r>
      <w:r>
        <w:t xml:space="preserve">Boscastle</w:t>
      </w:r>
      <w:r>
        <w:br/>
      </w:r>
      <w:r>
        <w:t xml:space="preserve">PL35 0EL</w:t>
      </w:r>
      <w:r>
        <w:br/>
      </w:r>
    </w:p>
    <w:p>
      <w:pPr>
        <w:pStyle w:val="Heading4"/>
      </w:pPr>
      <w:bookmarkStart w:id="45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45"/>
    </w:p>
    <w:p>
      <w:pPr>
        <w:pStyle w:val="Compact"/>
        <w:numPr>
          <w:numId w:val="1011"/>
          <w:ilvl w:val="0"/>
        </w:numPr>
      </w:pPr>
      <w:r>
        <w:t xml:space="preserve">You can get to Polrunny Farm - Seaberry Cottage by bus and train.</w:t>
      </w:r>
    </w:p>
    <w:p>
      <w:pPr>
        <w:pStyle w:val="Compact"/>
        <w:numPr>
          <w:numId w:val="1011"/>
          <w:ilvl w:val="0"/>
        </w:numPr>
      </w:pPr>
      <w:r>
        <w:t xml:space="preserve">The nearest bus stop is down the hill from our farm, outside the Doctor's surgery in Boscastle. The bus stop is 0.7 miles / 1.1 km from Polrunny Farm - Seaberry Cottage.</w:t>
      </w:r>
    </w:p>
    <w:p>
      <w:pPr>
        <w:pStyle w:val="Compact"/>
        <w:numPr>
          <w:numId w:val="1011"/>
          <w:ilvl w:val="0"/>
        </w:numPr>
      </w:pPr>
      <w:r>
        <w:t xml:space="preserve">The nearest train station is Bodmin Parkway. The train station is 18 miles / 29.0 km from Polrunny Farm - Seaberry Cottage.</w:t>
      </w:r>
    </w:p>
    <w:p>
      <w:pPr>
        <w:pStyle w:val="Heading4"/>
      </w:pPr>
      <w:bookmarkStart w:id="47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7"/>
    </w:p>
    <w:p>
      <w:pPr>
        <w:pStyle w:val="Compact"/>
        <w:numPr>
          <w:numId w:val="1012"/>
          <w:ilvl w:val="0"/>
        </w:numPr>
      </w:pPr>
      <w:r>
        <w:t xml:space="preserve">Whilst it is possible to reach Polrunny Farm through a combination of train, bus and walking or taxi, most people that stay here have access to a car.</w:t>
      </w:r>
    </w:p>
    <w:p>
      <w:pPr>
        <w:pStyle w:val="Heading4"/>
      </w:pPr>
      <w:bookmarkStart w:id="49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9"/>
    </w:p>
    <w:p>
      <w:pPr>
        <w:pStyle w:val="Compact"/>
        <w:numPr>
          <w:numId w:val="1013"/>
          <w:ilvl w:val="0"/>
        </w:numPr>
      </w:pPr>
      <w:r>
        <w:t xml:space="preserve">We have a car park. The parking is less than 50 metres from the main entrance. Parking is free.</w:t>
      </w:r>
    </w:p>
    <w:p>
      <w:pPr>
        <w:pStyle w:val="Compact"/>
        <w:numPr>
          <w:numId w:val="1013"/>
          <w:ilvl w:val="0"/>
        </w:numPr>
      </w:pPr>
      <w:r>
        <w:t xml:space="preserve">There is a drop-off point at the main entrance. The drop-off point has a dropped kerb.</w:t>
      </w:r>
    </w:p>
    <w:p>
      <w:pPr>
        <w:pStyle w:val="Compact"/>
        <w:numPr>
          <w:numId w:val="1013"/>
          <w:ilvl w:val="0"/>
        </w:numPr>
      </w:pPr>
      <w:r>
        <w:t xml:space="preserve">From the car park to the entrance, there is level access. The path is sloped.</w:t>
      </w:r>
    </w:p>
    <w:p>
      <w:pPr>
        <w:pStyle w:val="Compact"/>
        <w:numPr>
          <w:numId w:val="1013"/>
          <w:ilvl w:val="0"/>
        </w:numPr>
      </w:pPr>
      <w:r>
        <w:t xml:space="preserve">The route is 2000mm wide, or more.</w:t>
      </w:r>
    </w:p>
    <w:p>
      <w:pPr>
        <w:pStyle w:val="Compact"/>
        <w:numPr>
          <w:numId w:val="1013"/>
          <w:ilvl w:val="0"/>
        </w:numPr>
      </w:pPr>
      <w:r>
        <w:t xml:space="preserve">Seaberry Cottage is accessed from the main gravel and concrete courtyard.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Seaberry Cottage at Polrunny Farm, taken from across the courtyard garden.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olrunny_Farm_Seaberry_Cottage_and_courtyard.jpg?itok=I0VV8pv5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Seaberry Cottage at Polrunny Farm, taken from across the courtyard garden.</w:t>
      </w:r>
    </w:p>
    <w:p>
      <w:pPr>
        <w:pStyle w:val="Heading2"/>
      </w:pPr>
      <w:bookmarkStart w:id="51" w:name="arrival"/>
      <w:r>
        <w:t xml:space="preserve">Arrival</w:t>
      </w:r>
      <w:bookmarkEnd w:id="51"/>
    </w:p>
    <w:p>
      <w:pPr>
        <w:pStyle w:val="Heading4"/>
      </w:pPr>
      <w:bookmarkStart w:id="53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53"/>
    </w:p>
    <w:p>
      <w:pPr>
        <w:pStyle w:val="Compact"/>
        <w:numPr>
          <w:numId w:val="1014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4"/>
          <w:ilvl w:val="0"/>
        </w:numPr>
      </w:pPr>
      <w:r>
        <w:t xml:space="preserve">The path is 2000mm wide, or more.</w:t>
      </w:r>
    </w:p>
    <w:p>
      <w:pPr>
        <w:pStyle w:val="Compact"/>
        <w:numPr>
          <w:numId w:val="1014"/>
          <w:ilvl w:val="0"/>
        </w:numPr>
      </w:pPr>
      <w:r>
        <w:t xml:space="preserve">The path is sloped.</w:t>
      </w:r>
    </w:p>
    <w:p>
      <w:pPr>
        <w:pStyle w:val="Heading4"/>
      </w:pPr>
      <w:bookmarkStart w:id="55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55"/>
    </w:p>
    <w:p>
      <w:pPr>
        <w:pStyle w:val="Compact"/>
        <w:numPr>
          <w:numId w:val="1015"/>
          <w:ilvl w:val="0"/>
        </w:numPr>
      </w:pPr>
      <w:r>
        <w:t xml:space="preserve">The door is 720mm wide.</w:t>
      </w:r>
    </w:p>
    <w:p>
      <w:pPr>
        <w:pStyle w:val="Compact"/>
        <w:numPr>
          <w:numId w:val="1015"/>
          <w:ilvl w:val="0"/>
        </w:numPr>
      </w:pPr>
      <w:r>
        <w:t xml:space="preserve">The main entrance has 1 steps.</w:t>
      </w:r>
    </w:p>
    <w:p>
      <w:pPr>
        <w:pStyle w:val="Compact"/>
        <w:numPr>
          <w:numId w:val="1015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15"/>
          <w:ilvl w:val="0"/>
        </w:numPr>
      </w:pPr>
      <w:r>
        <w:t xml:space="preserve">When you arrive, we can help carry your luggage.</w:t>
      </w:r>
    </w:p>
    <w:p>
      <w:pPr>
        <w:pStyle w:val="Compact"/>
        <w:numPr>
          <w:numId w:val="1015"/>
          <w:ilvl w:val="0"/>
        </w:numPr>
      </w:pPr>
      <w:r>
        <w:t xml:space="preserve">There is one small step at the doorway to enter Seaberry Cottage. Once inside, the cottage is all on one level.</w:t>
      </w:r>
    </w:p>
    <w:p>
      <w:pPr>
        <w:pStyle w:val="Heading2"/>
      </w:pPr>
      <w:bookmarkStart w:id="56" w:name="getting-around-inside"/>
      <w:r>
        <w:t xml:space="preserve">Getting around inside</w:t>
      </w:r>
      <w:bookmarkEnd w:id="56"/>
    </w:p>
    <w:p>
      <w:pPr>
        <w:pStyle w:val="Heading4"/>
      </w:pPr>
      <w:bookmarkStart w:id="57" w:name="visual-impairment---general-information"/>
      <w:r>
        <w:t xml:space="preserve">Visual Impairment - General Information</w:t>
      </w:r>
      <w:bookmarkEnd w:id="57"/>
    </w:p>
    <w:p>
      <w:pPr>
        <w:pStyle w:val="Compact"/>
        <w:numPr>
          <w:numId w:val="1016"/>
          <w:ilvl w:val="0"/>
        </w:numPr>
      </w:pPr>
      <w:r>
        <w:t xml:space="preserve">We have high colour contrast between walls and doorframes.</w:t>
      </w:r>
    </w:p>
    <w:p>
      <w:pPr>
        <w:pStyle w:val="FirstParagraph"/>
      </w:pPr>
      <w:r>
        <w:drawing>
          <wp:inline>
            <wp:extent cx="3705225" cy="2476500"/>
            <wp:effectExtent b="0" l="0" r="0" t="0"/>
            <wp:docPr descr="Seaberry @Polrunny Farm is a bright and airy property with windows on three sides.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olrunny_Farm_Seaberry_cottage_lounge_diner_a_resized.jpg?itok=qkCKBvJP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Seaberry @Polrunny Farm is a bright and airy property with windows on three sides.</w:t>
      </w:r>
    </w:p>
    <w:p>
      <w:pPr>
        <w:pStyle w:val="TextBody"/>
      </w:pPr>
      <w:r>
        <w:drawing>
          <wp:inline>
            <wp:extent cx="3705225" cy="2476500"/>
            <wp:effectExtent b="0" l="0" r="0" t="0"/>
            <wp:docPr descr="Seaberry's bright double bedroom.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olrunny_Farm_Seaberry_cottage_double_bedroom_c_resized.jpg?itok=VZT3SURq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Seaberry's bright double bedroom.</w:t>
      </w:r>
    </w:p>
    <w:p>
      <w:pPr>
        <w:pStyle w:val="Heading4"/>
      </w:pPr>
      <w:bookmarkStart w:id="61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61"/>
    </w:p>
    <w:p>
      <w:pPr>
        <w:pStyle w:val="Compact"/>
        <w:numPr>
          <w:numId w:val="1017"/>
          <w:ilvl w:val="0"/>
        </w:numPr>
      </w:pPr>
      <w:r>
        <w:t xml:space="preserve">All bedrooms have windows.</w:t>
      </w:r>
    </w:p>
    <w:p>
      <w:pPr>
        <w:pStyle w:val="Compact"/>
        <w:numPr>
          <w:numId w:val="1017"/>
          <w:ilvl w:val="0"/>
        </w:numPr>
      </w:pPr>
      <w:r>
        <w:t xml:space="preserve">Bedrooms have ceiling lights, bedside lamps and natural daylight.</w:t>
      </w:r>
    </w:p>
    <w:p>
      <w:pPr>
        <w:pStyle w:val="Compact"/>
        <w:numPr>
          <w:numId w:val="1017"/>
          <w:ilvl w:val="0"/>
        </w:numPr>
      </w:pPr>
      <w:r>
        <w:t xml:space="preserve">Some lights can be controlled independently.</w:t>
      </w:r>
    </w:p>
    <w:p>
      <w:pPr>
        <w:pStyle w:val="Compact"/>
        <w:numPr>
          <w:numId w:val="1017"/>
          <w:ilvl w:val="0"/>
        </w:numPr>
      </w:pPr>
      <w:r>
        <w:t xml:space="preserve">TVs have subtitles.</w:t>
      </w:r>
    </w:p>
    <w:p>
      <w:pPr>
        <w:pStyle w:val="Compact"/>
        <w:numPr>
          <w:numId w:val="1017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7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7"/>
          <w:ilvl w:val="0"/>
        </w:numPr>
      </w:pPr>
      <w:r>
        <w:t xml:space="preserve">All of Polrunny Farm's linen and cleaning products are purchased with the needs of our holiday-makers with asthma and allergies in mind.</w:t>
      </w:r>
    </w:p>
    <w:p>
      <w:pPr>
        <w:pStyle w:val="Compact"/>
        <w:numPr>
          <w:numId w:val="1017"/>
          <w:ilvl w:val="0"/>
        </w:numPr>
      </w:pPr>
      <w:r>
        <w:t xml:space="preserve">We can move the bedroom furniture, to improve accessibility.</w:t>
      </w:r>
    </w:p>
    <w:p>
      <w:pPr>
        <w:pStyle w:val="Compact"/>
        <w:numPr>
          <w:numId w:val="1017"/>
          <w:ilvl w:val="0"/>
        </w:numPr>
      </w:pPr>
      <w:r>
        <w:t xml:space="preserve">From the main entrance to this area, there is level access.</w:t>
      </w:r>
    </w:p>
    <w:p>
      <w:pPr>
        <w:pStyle w:val="Heading4"/>
      </w:pPr>
      <w:bookmarkStart w:id="63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63"/>
    </w:p>
    <w:p>
      <w:pPr>
        <w:pStyle w:val="Heading4"/>
      </w:pPr>
      <w:bookmarkStart w:id="64" w:name="seaberry-kitchen"/>
      <w:r>
        <w:t xml:space="preserve">Seaberry Kitchen</w:t>
      </w:r>
      <w:bookmarkEnd w:id="64"/>
    </w:p>
    <w:p>
      <w:pPr>
        <w:pStyle w:val="Compact"/>
        <w:numPr>
          <w:numId w:val="1018"/>
          <w:ilvl w:val="0"/>
        </w:numPr>
      </w:pPr>
      <w:r>
        <w:t xml:space="preserve">We have an open plan kitchen.</w:t>
      </w:r>
    </w:p>
    <w:p>
      <w:pPr>
        <w:pStyle w:val="Compact"/>
        <w:numPr>
          <w:numId w:val="1018"/>
          <w:ilvl w:val="0"/>
        </w:numPr>
      </w:pPr>
      <w:r>
        <w:t xml:space="preserve">From the main entrance to the kitchen, there is level access.</w:t>
      </w:r>
    </w:p>
    <w:p>
      <w:pPr>
        <w:pStyle w:val="Compact"/>
        <w:numPr>
          <w:numId w:val="1018"/>
          <w:ilvl w:val="0"/>
        </w:numPr>
      </w:pPr>
      <w:r>
        <w:t xml:space="preserve">The route is 730mm wide, or more.</w:t>
      </w:r>
    </w:p>
    <w:p>
      <w:pPr>
        <w:pStyle w:val="Compact"/>
        <w:numPr>
          <w:numId w:val="1018"/>
          <w:ilvl w:val="0"/>
        </w:numPr>
      </w:pPr>
      <w:r>
        <w:t xml:space="preserve">The door is 730mm wide.</w:t>
      </w:r>
    </w:p>
    <w:p>
      <w:pPr>
        <w:pStyle w:val="Compact"/>
        <w:numPr>
          <w:numId w:val="1018"/>
          <w:ilvl w:val="0"/>
        </w:numPr>
      </w:pPr>
      <w:r>
        <w:t xml:space="preserve">The work surface is available with clear underspace and available at a height between 650mm and 900mm.</w:t>
      </w:r>
    </w:p>
    <w:p>
      <w:pPr>
        <w:pStyle w:val="Compact"/>
        <w:numPr>
          <w:numId w:val="1018"/>
          <w:ilvl w:val="0"/>
        </w:numPr>
      </w:pPr>
      <w:r>
        <w:t xml:space="preserve">The hob is available at a height between 650mm and 900mm.</w:t>
      </w:r>
    </w:p>
    <w:p>
      <w:pPr>
        <w:pStyle w:val="Compact"/>
        <w:numPr>
          <w:numId w:val="1018"/>
          <w:ilvl w:val="0"/>
        </w:numPr>
      </w:pPr>
      <w:r>
        <w:t xml:space="preserve">The sink is available at a height between 650mm and 900mm.</w:t>
      </w:r>
    </w:p>
    <w:p>
      <w:pPr>
        <w:pStyle w:val="Compact"/>
        <w:numPr>
          <w:numId w:val="1018"/>
          <w:ilvl w:val="0"/>
        </w:numPr>
      </w:pPr>
      <w:r>
        <w:t xml:space="preserve">The oven is available at a height between 650mm and 900mm.</w:t>
      </w:r>
    </w:p>
    <w:p>
      <w:pPr>
        <w:pStyle w:val="Compact"/>
        <w:numPr>
          <w:numId w:val="1018"/>
          <w:ilvl w:val="0"/>
        </w:numPr>
      </w:pPr>
      <w:r>
        <w:t xml:space="preserve">The table and plates have high colour contrast.</w:t>
      </w:r>
    </w:p>
    <w:p>
      <w:pPr>
        <w:pStyle w:val="FirstParagraph"/>
      </w:pPr>
      <w:r>
        <w:drawing>
          <wp:inline>
            <wp:extent cx="3705225" cy="2476500"/>
            <wp:effectExtent b="0" l="0" r="0" t="0"/>
            <wp:docPr descr="The sky-blue kitchen at Seaberry Cottage, Polrunny Farm.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olrunny_Farm_Seaberry_cottage_kitchen_diner_b_resized.jpg?itok=F4YjhmG-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The sky-blue kitchen at Seaberry Cottage, Polrunny Farm.</w:t>
      </w:r>
    </w:p>
    <w:p>
      <w:pPr>
        <w:pStyle w:val="Heading4"/>
      </w:pPr>
      <w:bookmarkStart w:id="67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67"/>
    </w:p>
    <w:p>
      <w:pPr>
        <w:pStyle w:val="Heading4"/>
      </w:pPr>
      <w:bookmarkStart w:id="68" w:name="seaberry-lounge"/>
      <w:r>
        <w:t xml:space="preserve">Seaberry Lounge</w:t>
      </w:r>
      <w:bookmarkEnd w:id="68"/>
    </w:p>
    <w:p>
      <w:pPr>
        <w:pStyle w:val="Compact"/>
        <w:numPr>
          <w:numId w:val="1019"/>
          <w:ilvl w:val="0"/>
        </w:numPr>
      </w:pPr>
      <w:r>
        <w:t xml:space="preserve">From the main entrance to the lounge, there is level access. The route is 730mm wide, or more.</w:t>
      </w:r>
    </w:p>
    <w:p>
      <w:pPr>
        <w:pStyle w:val="Heading2"/>
      </w:pPr>
      <w:bookmarkStart w:id="69" w:name="getting-around-outside"/>
      <w:r>
        <w:t xml:space="preserve">Getting around outside</w:t>
      </w:r>
      <w:bookmarkEnd w:id="69"/>
    </w:p>
    <w:p>
      <w:pPr>
        <w:pStyle w:val="Heading4"/>
      </w:pPr>
      <w:bookmarkStart w:id="70" w:name="courtyard-seating"/>
      <w:r>
        <w:t xml:space="preserve">Courtyard seating</w:t>
      </w:r>
      <w:bookmarkEnd w:id="70"/>
    </w:p>
    <w:p>
      <w:pPr>
        <w:pStyle w:val="Compact"/>
        <w:numPr>
          <w:numId w:val="1020"/>
          <w:ilvl w:val="0"/>
        </w:numPr>
      </w:pPr>
      <w:r>
        <w:t xml:space="preserve">From the main entrance to this area, there is level access. The route is 2000mm wide, or more. The entrance is 2000mm wide.</w:t>
      </w:r>
    </w:p>
    <w:p>
      <w:pPr>
        <w:pStyle w:val="Compact"/>
        <w:numPr>
          <w:numId w:val="1020"/>
          <w:ilvl w:val="0"/>
        </w:numPr>
      </w:pPr>
      <w:r>
        <w:t xml:space="preserve">The courtyard,area consisting of tables and chairs is directly accessible from Seaberry Cottage. It's a real sun trap in the mornings.</w:t>
      </w:r>
    </w:p>
    <w:p>
      <w:pPr>
        <w:pStyle w:val="FirstParagraph"/>
      </w:pPr>
      <w:r>
        <w:drawing>
          <wp:inline>
            <wp:extent cx="4400550" cy="2476500"/>
            <wp:effectExtent b="0" l="0" r="0" t="0"/>
            <wp:docPr descr="Polrunny Farm's courtyard garden - a sheltered gravel area containing garden furniture and pot plants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olrunny_farm_Courtyard_garden_0.jpeg?itok=ZLTeaWrH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Polrunny Farm's courtyard garden - a sheltered gravel area containing garden furniture and pot plants</w:t>
      </w:r>
    </w:p>
    <w:p>
      <w:pPr>
        <w:pStyle w:val="Heading4"/>
      </w:pPr>
      <w:bookmarkStart w:id="72" w:name="sea-view-breakfast-area"/>
      <w:r>
        <w:t xml:space="preserve">Sea-view breakfast area</w:t>
      </w:r>
      <w:bookmarkEnd w:id="72"/>
    </w:p>
    <w:p>
      <w:pPr>
        <w:pStyle w:val="Compact"/>
        <w:numPr>
          <w:numId w:val="1021"/>
          <w:ilvl w:val="0"/>
        </w:numPr>
      </w:pPr>
      <w:r>
        <w:t xml:space="preserve">From the main entrance to this area, there is level access. The route is 2000mm wide, or more. The entrance is 2000mm wide.</w:t>
      </w:r>
    </w:p>
    <w:p>
      <w:pPr>
        <w:pStyle w:val="Compact"/>
        <w:numPr>
          <w:numId w:val="1021"/>
          <w:ilvl w:val="0"/>
        </w:numPr>
      </w:pPr>
      <w:r>
        <w:t xml:space="preserve">The grassed breakfast garden with spectacular sea and countryside views is accessed through a farm gate opposite Seaberry Cottage. There is accessible seating in the breakfast garden.</w:t>
      </w:r>
    </w:p>
    <w:p>
      <w:pPr>
        <w:pStyle w:val="FirstParagraph"/>
      </w:pPr>
      <w:r>
        <w:drawing>
          <wp:inline>
            <wp:extent cx="4400550" cy="2476500"/>
            <wp:effectExtent b="0" l="0" r="0" t="0"/>
            <wp:docPr descr="Stunning sea views from Polrunny Farm's breakfast garden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olrunny_Farm_Cornwall_breakfast_garden.JPG?itok=hcO7ibpR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Stunning sea views from Polrunny Farm's breakfast garden</w:t>
      </w:r>
    </w:p>
    <w:p>
      <w:pPr>
        <w:pStyle w:val="TextBody"/>
      </w:pPr>
      <w:r>
        <w:drawing>
          <wp:inline>
            <wp:extent cx="3305175" cy="2476500"/>
            <wp:effectExtent b="0" l="0" r="0" t="0"/>
            <wp:docPr descr="There is room for everyone around our accessible seating in the breakfast garden at Polrunny Farm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olrunny_Farm_Breakfast_garden_accessible_seating_with_sea_view_1.jpg?itok=5I2f9ke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There is room for everyone around our accessible seating in the breakfast garden at Polrunny Farm</w:t>
      </w:r>
    </w:p>
    <w:p>
      <w:pPr>
        <w:pStyle w:val="Heading4"/>
      </w:pPr>
      <w:bookmarkStart w:id="75" w:name="farm-garden"/>
      <w:r>
        <w:t xml:space="preserve">Farm Garden</w:t>
      </w:r>
      <w:bookmarkEnd w:id="75"/>
    </w:p>
    <w:p>
      <w:pPr>
        <w:pStyle w:val="Compact"/>
        <w:numPr>
          <w:numId w:val="1022"/>
          <w:ilvl w:val="0"/>
        </w:numPr>
      </w:pPr>
      <w:r>
        <w:t xml:space="preserve">From the main entrance to the area, there are 10 steps.</w:t>
      </w:r>
    </w:p>
    <w:p>
      <w:pPr>
        <w:pStyle w:val="Compact"/>
        <w:numPr>
          <w:numId w:val="1022"/>
          <w:ilvl w:val="0"/>
        </w:numPr>
      </w:pPr>
      <w:r>
        <w:t xml:space="preserve">The expansive farm gardens and play equipment are accessed via stone steps. The farm gardens are grassed, and are gently sloping.</w:t>
      </w:r>
    </w:p>
    <w:p>
      <w:pPr>
        <w:pStyle w:val="FirstParagraph"/>
      </w:pPr>
      <w:r>
        <w:drawing>
          <wp:inline>
            <wp:extent cx="4400550" cy="2476500"/>
            <wp:effectExtent b="0" l="0" r="0" t="0"/>
            <wp:docPr descr="Daffodils in abundance in Polrunny Farm's farm garden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olrunny_Farm_Farm_garden_daffodils_1.jpg?itok=tWLXN0N6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Daffodils in abundance in Polrunny Farm's farm garden</w:t>
      </w:r>
    </w:p>
    <w:p>
      <w:pPr>
        <w:pStyle w:val="TextBody"/>
      </w:pPr>
      <w:r>
        <w:drawing>
          <wp:inline>
            <wp:extent cx="4400550" cy="2476500"/>
            <wp:effectExtent b="0" l="0" r="0" t="0"/>
            <wp:docPr descr="Stone steps leading to Polrunny Farm's farm garden.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olrunny_Farm_Farm_garden_1.jpeg?itok=UTGl9tvL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Stone steps leading to Polrunny Farm's farm garden.</w:t>
      </w:r>
    </w:p>
    <w:p>
      <w:pPr>
        <w:pStyle w:val="Heading2"/>
      </w:pPr>
      <w:bookmarkStart w:id="78" w:name="customer-care-support"/>
      <w:r>
        <w:t xml:space="preserve">Customer care support</w:t>
      </w:r>
      <w:bookmarkEnd w:id="78"/>
    </w:p>
    <w:p>
      <w:pPr>
        <w:pStyle w:val="Heading4"/>
      </w:pPr>
      <w:bookmarkStart w:id="79" w:name="accessibility-equipment"/>
      <w:r>
        <w:t xml:space="preserve">Accessibility equipment</w:t>
      </w:r>
      <w:bookmarkEnd w:id="79"/>
    </w:p>
    <w:p>
      <w:pPr>
        <w:pStyle w:val="Compact"/>
        <w:numPr>
          <w:numId w:val="1023"/>
          <w:ilvl w:val="0"/>
        </w:numPr>
      </w:pPr>
      <w:r>
        <w:t xml:space="preserve">A dedicated 'dog run' is provided approximately 75 metres from Seaberry Cottage. The owners are happy to provide any guests with a thorough tour of the premises.</w:t>
      </w:r>
    </w:p>
    <w:p>
      <w:pPr>
        <w:pStyle w:val="Compact"/>
        <w:numPr>
          <w:numId w:val="1023"/>
          <w:ilvl w:val="0"/>
        </w:numPr>
      </w:pPr>
      <w:r>
        <w:t xml:space="preserve">We have an area to charge mobility scooters and battery powered wheelchairs.</w:t>
      </w:r>
    </w:p>
    <w:p>
      <w:pPr>
        <w:pStyle w:val="Heading4"/>
      </w:pPr>
      <w:bookmarkStart w:id="80" w:name="emergency-evacuation-procedures"/>
      <w:r>
        <w:t xml:space="preserve">Emergency evacuation procedures</w:t>
      </w:r>
      <w:bookmarkEnd w:id="80"/>
    </w:p>
    <w:p>
      <w:pPr>
        <w:pStyle w:val="Compact"/>
        <w:numPr>
          <w:numId w:val="1024"/>
          <w:ilvl w:val="0"/>
        </w:numPr>
      </w:pPr>
      <w:r>
        <w:t xml:space="preserve">We have emergency evacuation procedures for disabled visitors.</w:t>
      </w:r>
    </w:p>
    <w:p>
      <w:pPr>
        <w:pStyle w:val="Heading4"/>
      </w:pPr>
      <w:bookmarkStart w:id="81" w:name="customer-care-support-1"/>
      <w:r>
        <w:t xml:space="preserve">Customer care support</w:t>
      </w:r>
      <w:bookmarkEnd w:id="81"/>
    </w:p>
    <w:p>
      <w:pPr>
        <w:pStyle w:val="Compact"/>
        <w:numPr>
          <w:numId w:val="1025"/>
          <w:ilvl w:val="0"/>
        </w:numPr>
      </w:pPr>
      <w:r>
        <w:t xml:space="preserve">All staff have disability awareness training.</w:t>
      </w:r>
    </w:p>
    <w:p>
      <w:pPr>
        <w:pStyle w:val="Compact"/>
        <w:numPr>
          <w:numId w:val="1025"/>
          <w:ilvl w:val="0"/>
        </w:numPr>
      </w:pPr>
      <w:r>
        <w:t xml:space="preserve">Staff are available 24 hours a day.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25 March 2021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4" Target="media/rId44.png" /><Relationship Type="http://schemas.openxmlformats.org/officeDocument/2006/relationships/image" Id="rId62" Target="media/rId62.png" /><Relationship Type="http://schemas.openxmlformats.org/officeDocument/2006/relationships/image" Id="rId66" Target="media/rId66.png" /><Relationship Type="http://schemas.openxmlformats.org/officeDocument/2006/relationships/image" Id="rId46" Target="media/rId46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54" Target="media/rId54.png" /><Relationship Type="http://schemas.openxmlformats.org/officeDocument/2006/relationships/image" Id="rId60" Target="media/rId60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41" Target="media/rId41.png" /><Relationship Type="http://schemas.openxmlformats.org/officeDocument/2006/relationships/image" Id="rId37" Target="media/rId37.png" /><Relationship Type="http://schemas.openxmlformats.org/officeDocument/2006/relationships/image" Id="rId35" Target="media/rId35.png" /><Relationship Type="http://schemas.openxmlformats.org/officeDocument/2006/relationships/image" Id="rId29" Target="media/rId29.png" /><Relationship Type="http://schemas.openxmlformats.org/officeDocument/2006/relationships/image" Id="rId39" Target="media/rId39.png" /><Relationship Type="http://schemas.openxmlformats.org/officeDocument/2006/relationships/image" Id="rId20" Target="media/rId20.png" /><Relationship Type="http://schemas.openxmlformats.org/officeDocument/2006/relationships/image" Id="rId74" Target="media/rId74.jpg" /><Relationship Type="http://schemas.openxmlformats.org/officeDocument/2006/relationships/image" Id="rId73" Target="media/rId73.jpg" /><Relationship Type="http://schemas.openxmlformats.org/officeDocument/2006/relationships/image" Id="rId77" Target="media/rId77.jpg" /><Relationship Type="http://schemas.openxmlformats.org/officeDocument/2006/relationships/image" Id="rId76" Target="media/rId76.jpg" /><Relationship Type="http://schemas.openxmlformats.org/officeDocument/2006/relationships/image" Id="rId50" Target="media/rId50.jpg" /><Relationship Type="http://schemas.openxmlformats.org/officeDocument/2006/relationships/image" Id="rId59" Target="media/rId59.jpg" /><Relationship Type="http://schemas.openxmlformats.org/officeDocument/2006/relationships/image" Id="rId65" Target="media/rId65.jpg" /><Relationship Type="http://schemas.openxmlformats.org/officeDocument/2006/relationships/image" Id="rId58" Target="media/rId58.jpg" /><Relationship Type="http://schemas.openxmlformats.org/officeDocument/2006/relationships/image" Id="rId71" Target="media/rId71.jpg" /><Relationship Type="http://schemas.openxmlformats.org/officeDocument/2006/relationships/image" Id="rId25" Target="media/rId25.jpg" /><Relationship Type="http://schemas.openxmlformats.org/officeDocument/2006/relationships/hyperlink" Id="rId27" Target="https://youtu.be/8ofXbzGb46s" TargetMode="External" /><Relationship Type="http://schemas.openxmlformats.org/officeDocument/2006/relationships/hyperlink" Id="rId22" Target="mailto:stay@polrunnyfarm.com" TargetMode="External" /><Relationship Type="http://schemas.openxmlformats.org/officeDocument/2006/relationships/hyperlink" Id="rId23" Target="tel:01840250049" TargetMode="External" /><Relationship Type="http://schemas.openxmlformats.org/officeDocument/2006/relationships/hyperlink" Id="rId24" Target="www.polrunnyfarm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youtu.be/8ofXbzGb46s" TargetMode="External" /><Relationship Type="http://schemas.openxmlformats.org/officeDocument/2006/relationships/hyperlink" Id="rId22" Target="mailto:stay@polrunnyfarm.com" TargetMode="External" /><Relationship Type="http://schemas.openxmlformats.org/officeDocument/2006/relationships/hyperlink" Id="rId23" Target="tel:01840250049" TargetMode="External" /><Relationship Type="http://schemas.openxmlformats.org/officeDocument/2006/relationships/hyperlink" Id="rId24" Target="www.polrunnyfarm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2024-03-29T10:20:39Z</dcterms:created>
  <dcterms:modified xsi:type="dcterms:W3CDTF">2024-03-29T10:20:39Z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